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超长配置下出现指令遗忘、结构错乱与条款混搭等失败模式。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规模与质量的双视角关系</w:t>
      </w:r>
    </w:p>
    <w:p>
      <w:pPr>
        <w:spacing w:before="80" w:after="80" w:lineRule="auto" w:line="360"/>
        <w:ind w:firstLine="0"/>
        <w:jc w:val="both"/>
      </w:pPr>
      <w:r>
        <w:rPr>
          <w:rFonts w:ascii="Times New Roman" w:hAnsi="Times New Roman" w:eastAsia="宋体"/>
          <w:b w:val="0"/>
          <w:sz w:val="22"/>
        </w:rPr>
        <w:t>Figure 4 以双视角呈现 token 规模与质量评分的关系。Claude 评审曲线随 token 规模单调上升，至 C_full 仍保持 4.90；GPT 评审曲线在 H4（2 K）附近达到峰值后下降，在 C_full 处出现崩溃；专家评审曲线在 F 与 G 模板区（15–16 K）达到峰值 4.24，而在 H4（2 K）仅 3.20。三条曲线在 2–5 K 区间的分歧最为显著：LLM 评审认为已接近峰值，而专家判断仍显著低于最优。这一结果揭示 token 效率导向的配置优化与临床可用性导向的配置优化在 QMS 生成场景中对应两个不同的目标函数。</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配置精简化在 LLM 层成立但在专家层不成立</w:t>
      </w:r>
    </w:p>
    <w:p>
      <w:pPr>
        <w:spacing w:before="80" w:after="80" w:lineRule="auto" w:line="360"/>
        <w:ind w:firstLine="0"/>
        <w:jc w:val="both"/>
      </w:pPr>
      <w:r>
        <w:rPr>
          <w:rFonts w:ascii="Times New Roman" w:hAnsi="Times New Roman" w:eastAsia="宋体"/>
          <w:b w:val="0"/>
          <w:sz w:val="22"/>
        </w:rPr>
        <w:t>LLM 评审层的四成分消融得出一个简洁结论：规则成分必需（BH-adjusted p&lt;0.001），骨架成分方向为正但经多重比较校正后未达显著（BH-adjusted p=0.11），详细内容与示例无贡献。此结论与 lost-in-the-middle 理论 [3] 及 prompt 精简化实践 [12] 一致。然而专家层分析推翻了这一简化：详细内容（F 与 G 的完整模板）显著提升临床可用性（F 4.24 vs H4 3.20，差距达 1.04），原因在于 LLM 的内化知识不足以覆盖临床实操的所有子场景，包括急诊样本处理、患者自采送检、运送人员资格认证与拒收标准等。此类信息必须通过 system prompt 显式提供。</w:t>
      </w:r>
    </w:p>
    <w:p>
      <w:pPr>
        <w:spacing w:before="200" w:after="80" w:lineRule="auto" w:line="300"/>
        <w:jc w:val="left"/>
      </w:pPr>
      <w:r>
        <w:rPr>
          <w:rFonts w:ascii="Arial" w:hAnsi="Arial" w:eastAsia="黑体"/>
          <w:b/>
          <w:sz w:val="24"/>
        </w:rPr>
        <w:t>4.2 全量输入陷阱的模型依赖性</w:t>
      </w:r>
    </w:p>
    <w:p>
      <w:pPr>
        <w:spacing w:before="80" w:after="80" w:lineRule="auto" w:line="360"/>
        <w:ind w:firstLine="0"/>
        <w:jc w:val="both"/>
      </w:pPr>
      <w:r>
        <w:rPr>
          <w:rFonts w:ascii="Times New Roman" w:hAnsi="Times New Roman" w:eastAsia="宋体"/>
          <w:b w:val="0"/>
          <w:sz w:val="22"/>
        </w:rPr>
        <w:t>C_full（56 K）是一个典型的看起来安全的配置选项：其包含所有可能相关的资料，符合宁多勿少的直觉。但在 GPT-5.4 生成条件下（跨评分 1.40–1.84），其表现彻底失败。可能的解释为：Claude Opus 的 long-context attention 训练更充分，能在 56 K 中筛选有效信号；GPT-5.4 在超长配置下出现指令遗忘。方法学启示：任何关于某配置尚可用的结论必须经跨生成模型验证，单模型结论与模型特性绑定，不应外推。</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规模与质量评分关系——LLM 评审在 2–5 K 达峰，专家偏好 15–25 K。横轴为 system-prompt 大小（symlog 刻度），纵轴为 0–5 质量评分。绿色实线（方块）为 3 位专家均值，红色实线（圆点）为 Claude Opus 4.6 评审，蓝色实线（三角）为 GPT-5.4 评审。橙色阴影区为 token 效率最优区（H4 / H3），绿色阴影区为专家临床可用性最优区（F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