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prompt-content dimensions (rules, skeleton, detailed content, and examples; rules and skeleton at three levels, detailed content and examples binary) 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Four-component substitution-contrast ablation (Benjamini–Hochberg FDR-adjusted; bootstrap 95% CI, B = 10,000) showed that, at the LLM-judge tier, only the rules component reached significance (Δ = +0.511, 95% CI [+0.28, +0.75]; BH-adjusted p &lt; 0.001); the skeleton component (Δ = +0.213, 95% CI [+0.05, +0.39]; BH-adjusted p = 0.11), detailed content (Δ = −0.031, 95% CI [−0.19, +0.12]; BH-adjusted p = 0.79), and examples (Δ = −0.053, 95% CI [−0.21, +0.11]; BH-adjusted p = 0.61) did not. (2) The full-context configuration C_full (56 K) yielded cross-evaluated scores of 3.22–4.56 under Claude generation but dropped to 1.40–1.84 under GPT-5.4 generation, indicating that long-context exploitation in this scenario is model-specific to Claude Opus. (3) Both LLM judges rated Claude-generated outputs approximately 0.30 points higher than GPT-generated outputs (Panickssery classical bias estimates: Claude-judge +0.29, GPT-judge −0.30), a pattern incompatible with classical same-family self-preference and consistent with either a genuine quality difference between the two generation models or shared judge stylistic preferences.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(~2,000 tokens), fell to fifth of seven configurations under expert evaluation (3.20, n = 2; only 0.16 points above the no-prompt baseline A_bare), whereas template-based configurations F_template (~15,000 tokens), H2_keep_examples (~25,000 tokens), and G_template_rules (~16,000 tokens) ranked highest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may adopt H4_sop_only (~2,000 tokens) or E_rules_v2 (~1,200 tokens) for non-final, exploratory drafts subject to expert review before any clinical-deployment use; scenarios involving formal submission and CNAS accreditation application should adopt G_template_rules (~16,000 tokens) or F_template (~15,000 tokens). C_full (~56,000 tokens)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configurations × Class A procedure-document tasks (A1, A2, A3) — yielding a 21-stratum frame. The seven configurations selected at this tier (A_bare, C_full, E_rules_v2, F_template, G_template_rules, H2_keep_examples, H4_sop_only) differ from the six-configuration set used at Tier 2a (§2.3.2): B_simple was excluded from the expert sample as a redundant low-quality baseline next to A_bare, H3_skeleton was excluded as a near-duplicate of H4_sop_only at the per-stratum sample size, and H2_keep_examples and H4_sop_only were added as informative endpoints of the H series.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and ICC(3,k) = 0.981. The pairwise single-rater agreements were ICC(2,1) = 0.948 (R1 vs R2), 0.928 (R1 vs R3), and 0.969 (R2 vs R3) — all in the "excellent" range (&gt; 0.90 by the Cicchetti benchmark [15]). This level of agreement indicates that the five-dimensional rubric (Table 2) was highly reproducible across raters; however, because all three raters were affiliated with the same institution, the observed reliability may overestimate the agreement achievable across institutions (see §4.5, Limitation ii).</w:t>
      </w:r>
    </w:p>
    <w:p>
      <w:pPr>
        <w:spacing w:before="80" w:after="80" w:lineRule="auto" w:line="360"/>
        <w:ind w:firstLine="0"/>
        <w:jc w:val="both"/>
      </w:pPr>
      <w:r>
        <w:rPr>
          <w:rFonts w:ascii="Times New Roman" w:hAnsi="Times New Roman" w:eastAsia="宋体"/>
          <w:b w:val="0"/>
          <w:sz w:val="22"/>
        </w:rPr>
        <w:t>Agreement between the expert mean and the two LLM judges was substantially lower (Figure 3). The Claude judge yielded ICC(3,1) = 0.548 (p = 0.04), Pearson r = 0.573, and Spearman ρ = 0.509; the GPT judge yielded ICC(3,1) = 0.217 (p = 0.26) and Pearson r = 0.259. On the 0–5 Likert scale, both LLM judges systematically overestimated the expert-determined compliance scores: by 0.905 points for the Claude judge and by 0.525 points for the GPT judge (mean difference defined as expert − LLM judge, yielding values of −0.905 and −0.525, respectively). Claude–expert agreement was therefore at a moderate level, whereas GPT–expert agreement was poor.</w:t>
      </w:r>
    </w:p>
    <w:p>
      <w:pPr>
        <w:spacing w:before="80" w:after="80" w:lineRule="auto" w:line="360"/>
        <w:ind w:firstLine="0"/>
        <w:jc w:val="both"/>
      </w:pPr>
      <w:r>
        <w:rPr>
          <w:rFonts w:ascii="Times New Roman" w:hAnsi="Times New Roman" w:eastAsia="宋体"/>
          <w:b w:val="0"/>
          <w:sz w:val="22"/>
        </w:rPr>
        <w:t>When ranked by the expert mean across the seven sampled configurations (10 documents in total; per-stratum n = 1 or 2), the configurations ordered from highest to lowest were: F_template 4.24 (n = 1), H2_keep_examples 4.07 (n = 1), G_template_rules 4.06 (n = 2), C_full 3.45 (n = 2), H4_sop_only 3.20 (n = 2), E_rules_v2 3.19 (n = 1), and A_bare 3.04 (n = 1). The configuration ranked first at the LLM-judge tier — H4_sop_only (~2,000 tokens) — fell to fifth of seven (the third position from the bottom) under expert evaluation, only 0.16 points above the no-prompt baseline A_bare. The largest LLM-judge overestimation was observed for C_full and H4_sop_only (mean difference = expert − LLM-judges mean = −1.00 and −1.05, respectively), suggesting that although these two configurations achieve structural completeness and terminological compliance — the dimensions most readily captured by automated and LLM-based scoring — they lack the clinical-practice depth that is detectable only by expert reviewers. The three top-ranked configurations under expert evaluation (F_template, H2_keep_examples, G_template_rules) were all template-anchored configurations containing detailed content, indicating that the apparent token efficiency of skeleton-only configurations at the LLM-judge tier does not translate into expert-validated compliance. Given the small per-stratum sample (n = 1 or 2), these expert rankings should be treated as exploratory and warrant replication with a larger expert sample.</w:t>
      </w:r>
    </w:p>
    <w:p>
      <w:pPr>
        <w:spacing w:before="200" w:after="80" w:lineRule="auto" w:line="300"/>
        <w:jc w:val="left"/>
      </w:pPr>
      <w:r>
        <w:rPr>
          <w:rFonts w:ascii="Arial" w:hAnsi="Arial" w:eastAsia="黑体"/>
          <w:b/>
          <w:sz w:val="24"/>
        </w:rPr>
        <w:t>3.6 Token size and compliance scores: divergent relationships across evaluation tiers</w:t>
      </w:r>
    </w:p>
    <w:p>
      <w:pPr>
        <w:spacing w:before="80" w:after="80" w:lineRule="auto" w:line="360"/>
        <w:ind w:firstLine="0"/>
        <w:jc w:val="both"/>
      </w:pPr>
      <w:r>
        <w:rPr>
          <w:rFonts w:ascii="Times New Roman" w:hAnsi="Times New Roman" w:eastAsia="宋体"/>
          <w:b w:val="0"/>
          <w:sz w:val="22"/>
        </w:rPr>
        <w:t>Figure 4 plots compliance scores against system-prompt token size for the three evaluators, all derived from the n = 10 expert-blinded subset (seven configurations; per-stratum n = 1 or 2). At the LLM-judge tier, the Claude-judge curve generally increased with token size, peaking at 4.90 at C_full (~56,000 tokens) with a small dip at H2_keep_examples; the GPT-judge curve peaked at G_template_rules (~16,000 tokens; 4.50) and was relatively flat (~4.0) at both ends of the token range, including C_full. At the expert tier, the curve peaked in the template region (F_template at ~15,000 tokens, expert mean = 4.24; G_template_rules at ~16,000 tokens, 4.06) and declined at both extremes, falling to ~3.20 at H4_sop_only (~2,000 tokens) and 3.45 at C_full (~56,000 tokens). The expert–LLM divergence followed a U-shaped pattern across the token axis: large at low-token configurations (gap ≈ 0.8–1.1 points at A_bare, E_rules_v2, and H4_sop_only) and again at the high-token extreme (gap ≈ 1.0 at C_full), but converging in the 15–25-K template region (gap ≤ 0.6). Both LLM-judge curves placed the low-token region near or above the template region, whereas the expert curve placed the template region clearly above all other configurations. This pattern indicates that token-efficiency-oriented optimisation and clinical-usability-oriented optimisation correspond to two divergent optimisation objectives in the medical-laboratory QMS generation scenario; the Tier 2 LLM-judge perspective overestimates the quality of both short-prompt configurations and the C_full configuration relative to what the expert tier validates.</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minimisation holds at the LLM-judge tier but not at the expert tier</w:t>
      </w:r>
    </w:p>
    <w:p>
      <w:pPr>
        <w:spacing w:before="80" w:after="80" w:lineRule="auto" w:line="360"/>
        <w:ind w:firstLine="0"/>
        <w:jc w:val="both"/>
      </w:pPr>
      <w:r>
        <w:rPr>
          <w:rFonts w:ascii="Times New Roman" w:hAnsi="Times New Roman" w:eastAsia="宋体"/>
          <w:b w:val="0"/>
          <w:sz w:val="22"/>
        </w:rPr>
        <w:t>The four-component ablation supports a parsimonious account at the LLM-judge tier: the rules component was necessary (BH-adjusted p &lt; 0.001), the document-skeleton component contributed a directionally positive but non-significant effect (BH-adjusted p = 0.11), and neither detailed content nor worked examples produced detectable compliance gains (§3.2). This pattern aligns with the lost-in-the-middle phenomenon described by Liu et al. [3] — in which appending large volumes of contextual material to long prompts can dilute model attention and degrade output quality — and with prompt-engineering literature more broadly [12].</w:t>
      </w:r>
    </w:p>
    <w:p>
      <w:pPr>
        <w:spacing w:before="80" w:after="80" w:lineRule="auto" w:line="360"/>
        <w:ind w:firstLine="0"/>
        <w:jc w:val="both"/>
      </w:pPr>
      <w:r>
        <w:rPr>
          <w:rFonts w:ascii="Times New Roman" w:hAnsi="Times New Roman" w:eastAsia="宋体"/>
          <w:b w:val="0"/>
          <w:sz w:val="22"/>
        </w:rPr>
        <w:t>The expert-tier analysis qualifies this simplification (§3.5). Detailed content—the full document template embedded in F_template and G_template_rules—was associated with substantially higher expert-rated compliance than skeleton-only configurations: on the 0–5 Likert scale, F_template scored 4.24 (n = 1) and G_template_rules scored 4.06 (n = 2), compared with 3.20 (n = 2) for H4_sop_only, an apparent difference of approximately one point (these per-stratum samples are small and the comparison should therefore be interpreted as exploratory; see §3.5). A plausible explanation is that the model's internalised knowledge does not reliably cover the clinical-practice sub-scenarios required by ISO 15189:2022 and CNAS-CL02:2023—including, in our task set, emergency-sample handling, the acceptance of patient-self-collected specimens, qualification requirements for sample-courier personnel, and detailed criteria for sample rejection. When such sub-scenarios are not supplied explicitly through the system prompt, the model tends to default to generic procedural language that satisfies the structural and terminological criteria captured by automated and LLM-based scoring (§3.6) but lacks the operational depth that expert reviewers identify as the threshold for accreditation-grade documentation. Prompt minimisation is therefore appropriate when the goal is rapid drafting under LLM-only review, whereas template-anchored prompts are required when expert-validated compliance is the target.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a cross-LLM directional pattern in which both judges rated Claude-generated outputs approximately 0.30 points higher than GPT-generated outputs (Panickssery classical estimates: Claude judge +0.29, GPT judge −0.30) — a pattern that is incompatible with classical same-family self-preference (§3.4) and is therefore attributable either to a real generation-quality gap or to shared judge stylistic preferences —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all Claude-generated: n = 3 raters × 10 documents, with only 1 to 2 documents per configuration; the entire 10-document sample was drawn from the Claude-generation set, and no GPT-generated documents underwent expert review. This design supports only directional ranking conclusions for Claude generation, not strict statistical inference, and means that the §3.4 ambiguity between (a) a genuine generation-quality gap between Claude Opus 4.6 and GPT-5.4 and (b) shared judge stylistic preferences cannot be resolved within the present sample. Multi-center validation with 3–5 experts × 30–50 documents across institutions, including matched GPT-generated samples,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 (xiii) Claude Code Agent wrapper: Claude Opus 4.6 generation and Claude-judge ratings were performed via Claude Code's Agent tool rather than through a direct Anthropic REST SDK call. The Claude Code framework adds a constant framework-level system prompt (tool definitions and file-system guidance) on top of each configured QMS-generation or judge prompt; the absolute prompt length seen by the model is therefore larger than the per-configuration token counts reported in §2.1. Because this framework overhead is identical across all 9 configurations and across all judging calls, between-configuration relative comparisons and the relative judge–expert agreement findings remain valid; however, exact reproduction of absolute scores requires the same Claude Code version, and re-running the same configurations through a direct Anthropic SDK call may yield slightly different absolute scores. (xiv) AIHubMix routing not independently audited: GPT-5.4 was accessed via the AIHubMix proxy endpoint, which advertises transparent forwarding to the upstream OpenAI API. We did not independently verify response equivalence against direct OpenAI calls; subtle routing-level differences (request batching, header handling) cannot be ruled out, although the GPT-5.4 model identifier was preserved end-to-end. (xv) Temperature setting: all generations used temperature = 1.0 to reflect realistic interactive use. This introduces stochastic variance (mitigated by the 3 replicates per cell), but reduces strict bit-level reproducibility; future studies seeking deterministic comparison should re-run with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(~2,000 tokens) achieves the highest composite score; under expert evaluation, F_template (~15,000 tokens), H2_keep_examples (~25,000 tokens), and G_template_rules (~16,000 tokens) tie at the top (mean 4.06–4.24), whereas H4 falls to fifth of seven configurations (only 0.16 points above the no-prompt baseline). Scenarios prioritizing token efficiency and cost control may adopt H4 or E_rules_v2 (1–2 K) for exploratory drafts subject to subsequent expert review; scenarios requiring formal submission and CNAS accreditation application should adopt G or F (15–16 K); C_full (~56,000 tokens)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score (0–5 Likert) versus system-prompt token size, plotted for the n = 10 expert-blinded subset (seven configurations; per-stratum n = 1 or 2). Horizontal axis: token count on a symlog scale (cl100k_base). All three curves use the same matched samples: solid green line (squares), three-rater expert mean; solid red line (circles), Claude Opus 4.6 judge × Claude-generated outputs; solid blue line (triangles), GPT-5.4 judge × Claude-generated outputs. Orange-shaded band: token-efficient optimum identified by the LLM-judge tier (H4_sop_only / H3_skeleton). Green-shaded band: expert-judged clinical-usability optimum (F_template / G_template_rules). Error bars omitted because per-stratum n = 1–2; a Bland–Altman-style scatter is shown in Figure 3.</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