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个维度系统替换组合，token 规模从 0 覆盖至 56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C_full（56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H4_sop_only（2 K 骨架）在专家视角下排名倒数第二（3.20 分，n=2），而模板类配置 F_template（15 K）、H2_keep_examples（25 K）与 G_template_rules（16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H4_sop_only（2 K）或 E_rules（3 K）；正式送审与 CNAS 认可申请场景建议采用 G_template_rules（16 K）或 F_template（15 K）。C_full（56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个维度进行系统替换（systematic substitution along four binary dimensions），设计 9 组对照配置（Figure 1）。其中 A_bare（0 K）与 B_simple（0.3 K）为基线；C_full（56 K）代表全量输入策略；E_rules（1.2 K）仅含规则层；F_template（15 K）为无规则的完整模板；G_template_rules（16 K）为规则与模板的组合；H2_keep_examples（25 K）在 G 基础上额外保留示例；H3_skeleton（5 K）保留模块骨架但删除详细内容；H4_sop_only（2 K）仅保留任务最相关的单个 SOP 骨架。字母 D 在编号序列中被有意跳过：D_rules 是规则层的早期变体，经领域专家校验发现存在术语错误后被弃用并由 E_rules_v2 替代；保留字母跳号以保持配置标识符的时间一致性。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rules.md（1.2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 fenced code blocks（markdown ... 围栏块，含流程图、JSON 片段或伪代码）。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本研究中所有报告的 token 数（K）均按 cl100k_base tokenizer（OpenAI tiktoken 库）计算并除以 1000；该 tokenizer 在中英混合医学文本上与 Anthropic 实际 tokenizer 相差通常 ≤10%，作为可重复的近似估计。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评审）综合分排序为：H4_sop_only（2 K）第 1 名（0.994），H3_skeleton（5 K）第 2 名，G_template_rules（16 K）第 3 名，H2_keep_examples（25 K）第 4 名，E_rules（1.2 K）第 5 名，C_full（56 K）第 6 名，F_template（15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骨架（2 K）与完整模块骨架（5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56 K 全量配置在 Claude Opus 下仍能产出合格文件的现象具有模型特异性，并非通用结论。GPT-5.4 在 56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名（H4_sop_only，2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H4（2 K）附近达到峰值后下降，在 C_full 处出现崩溃；专家评审曲线在 F 与 G 模板区（15–16 K）达到峰值 4.24，而在 H4（2 K）仅 3.20。三条曲线在 2–5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76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7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2–5 K 达峰，专家偏好 15–25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C_full（56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56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1–2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2–5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15–16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C_full（56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H4_sop_only（2 K）综合最优；专家视角下 F_template（15 K）、H2_keep_examples（25 K）与 G_template_rules（16 K）并列最优（均值 4.06–4.24 分），H4 位列倒数第二。追求 token 效率与成本控制的场景推荐采用 H4 或 E_rules（1–2 K），正式送审与 CNAS 认可申请场景推荐采用 G 或 F（15–16 K），C_full（56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