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with Bonferroni correction applied for multiple comparisons within the four-factor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