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in total,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showed that the rules layer (Δ = +0.511, p &lt; 0.001) and the skeleton layer (Δ = +0.213, p = 0.055) contributed significantly or near-significantly at the LLM-judge tier; detailed content (Δ = −0.031, p = 0.79) and examples (Δ = −0.053, p = 0.46) contributed nothing or were mildly harmful.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is the international standard for medical laboratory accreditation, and its recognition in China has been steadily increasing. CNAS-CL02:2023, the corresponding implementation document issued by the China National Accreditation Service for Conformity Assessment, was released in parallel. Such standards prescribe what laboratories *should do* but not *how to do it*, requiring each laboratory to construct, on its own, a complete documentation system covering the quality manual, procedure documents, and standard operating instructions. In a typical tertiary-level hospital clinical laboratory, such a system contains 100 to 300 controlled documents and constitutes a systems-engineering effort spanning structural organization, clause mapping, form numbering, and responsibility assignment; manual drafting by the quality team typically takes several months, after which several rounds of internal audit are required before the system can be finalized. Laboratories pursuing CNAS accreditation generally require technical experts and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approached professional-level performance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studies of LLM configuration [3, 4] have focused on prompt engineering for general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rated all 486 documents along five indicators—format, clauses, terminology, violations, and vagueness.</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acting as a CNAS chief assessor, scored each document on five dimensions (clause coverage, operability, internal consistency, PDCA closure, and professional depth) on a 0–5 scale; 378 documents were rated.</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GPT-5.4 acted as a judge using the same prompt and covered all 486 documents.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Documents were renumbered as paper_01 to paper_10 in random order, with all group identifiers removed.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rating rubric as the LLM judges.</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Between-group comparisons used the Kruskal–Wallis test and the Mann–Whitney U test, with Bonferroni correction applied for multiple comparisons. Four-factor effect sizes were estimated by two-way analysis of variance. Inter-rater agreement was assessed by Pearson correlation, Spearman correlation, and the ICC(2,1) (absolute agreement) and ICC(3,1) (consistency in ranking) defined by Shrout and Fleiss [13].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The main effect of the rules layer was +0.511 (p &lt; 0.001) and that of the skeleton layer was +0.213 (p = 0.055), both contributing positively (significantly or near-significantly) at the LLM-judge tier. Detailed content showed no contribution (G vs. H3: Δ = −0.031, p = 0.79), and examples showed a directional harm (H2 vs. G: Δ = −0.053, p = 0.46). H4 and H3 did not differ significantly (Δ = −0.009, p = 0.80),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−1.27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rules and skeleton are necessary, while detailed content and examples contribute nothing or are even harmful. This conclusion is consistent with the lost-in-the-middle theory [3] and with prompt-minimization practice [12]. However, expert-tier analysis overturns this simplification: detailed content (the full template in F and G) substantially improves clinical usability (F 4.24 vs. H3 3.28, a difference of 0.96),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6–13 K while experts prefer 35–61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13</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