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95% CI (0.28, 0.75); BH-adjusted p &lt; 0.001]. C_full (~56,000 tokens) scored 3.22–4.56 with Claude but only 1.40–1.84 with GPT-5.4. Both judges rated Claude outputs ~0.3 points higher, driven by C_full and incompatible with classical self-preference. Expert agreement was excellent [ICC(2,k) = 0.982]; judge–expert agreement was at best moderate with wide CIs crossing zero, and judges overestimated experts by 0.52–0.90 points. H4_sop_only fell to fifth under expert review;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the five-dimensional rubric of Table 1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Table 1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Table 1,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Table 1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20" w:after="40" w:lineRule="auto" w:line="360"/>
        <w:ind w:firstLine="0"/>
        <w:jc w:val="center"/>
      </w:pPr>
      <w:r>
        <w:rPr>
          <w:rFonts w:ascii="Times New Roman" w:hAnsi="Times New Roman" w:eastAsia="宋体"/>
          <w:b/>
          <w:i w:val="0"/>
          <w:sz w:val="24"/>
        </w:rPr>
        <w:t>Table 1.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Dimension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5</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3</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1</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Clause coverage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"shall" requirements of the relevant clauses are operationalized through concrete measures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Operability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Internal consistency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closure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Professional depth</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Some professional flavor, but largely generic</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Generic content equally applicable to any laboratory</w:t>
            </w:r>
          </w:p>
        </w:tc>
      </w:tr>
    </w:tbl>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3),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3).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2).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2.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3.</w:t>
      </w:r>
    </w:p>
    <w:p>
      <w:pPr>
        <w:spacing w:before="120" w:after="40" w:lineRule="auto" w:line="360"/>
        <w:ind w:firstLine="0"/>
        <w:jc w:val="center"/>
      </w:pPr>
      <w:r>
        <w:rPr>
          <w:rFonts w:ascii="Times New Roman" w:hAnsi="Times New Roman" w:eastAsia="宋体"/>
          <w:b/>
          <w:i w:val="0"/>
          <w:sz w:val="24"/>
        </w:rPr>
        <w:t>Table 3.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3,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(Table 1),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4, and is almost the reverse of the LLM-judge tier (Figure 4b).</w:t>
      </w:r>
    </w:p>
    <w:p>
      <w:pPr>
        <w:spacing w:before="120" w:after="40" w:lineRule="auto" w:line="360"/>
        <w:ind w:firstLine="0"/>
        <w:jc w:val="center"/>
      </w:pPr>
      <w:r>
        <w:rPr>
          <w:rFonts w:ascii="Times New Roman" w:hAnsi="Times New Roman" w:eastAsia="宋体"/>
          <w:b/>
          <w:i w:val="0"/>
          <w:sz w:val="24"/>
        </w:rPr>
        <w:t>Table 4.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2) versus the expert panel (Table 4):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5).</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5.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5.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5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the LLM-judge favorite H4_sop_only fell to fifth under expert review, whereas the template-anchored F_template, H2_keep_examples, and G_template_rules ranked highest (Table 4).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10.5281/zenodo.20091463; https://doi.org/10.5281/zenodo.20091463).</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including references)</w:t>
      </w:r>
      <w:r>
        <w:rPr>
          <w:rFonts w:ascii="Times New Roman" w:hAnsi="Times New Roman" w:eastAsia="宋体"/>
          <w:b w:val="0"/>
          <w:i w:val="0"/>
          <w:sz w:val="24"/>
        </w:rPr>
        <w:t>: ~7900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