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[TBD]</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2 (generation models: Claude Opus 4.6, GPT-5.4) × 9 (configuration groups) × 15 (tasks) × 3 (replicates) factorial design produced 486 QMS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+0.464, whereas GPT-as-judge showed an inverse bias of −0.472.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rated all 486 documents along five indicators—format, clauses, terminology, violations, and vagueness.</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acting as a CNAS chief assessor, scored each document on five dimensions (clause coverage, operability, internal consistency, PDCA closure, and professional depth) on a 0–5 scale; 378 documents were rated.</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acted as a judge using the same prompt and covered all 486 documents.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rating rubric as the LLM judges.</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