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Pairwise between-group comparisons used the two-sided Mann–Whitney U test (scipy.stats.mannwhitneyu) on per-paper GPT-judge scores (n = 45 per group: 15 tasks × 3 replicates), with Bonferroni correction applied for multiple comparisons within the four-factor ablation. The four configuration-component effects were quantified as mean differences between targeted configuration contrasts under an orthogonal substitution scheme: rules = E_rules_v2 vs A_bare; skeleton = H4_sop_only vs E_rules_v2; detailed content = G_template_rules vs H3_skeleton; examples = H2_keep_examples vs G_template_rules.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