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with Bonferroni correction applied for multiple comparisons within the four-factor ablation. The four configuration-component effects were quantified as mean differences between targeted configuration contrasts under an orthogonal substitution scheme: rules = E_rules_v2 vs A_bare; skeleton = H4_sop_only vs E_rules_v2; detailed content = G_template_rules vs H3_skeleton; examples = H2_keep_examples vs G_template_rules.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