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重复）；四因子消融的多重比较采用 Bonferroni 校正。4 个配置成分效应以靶向配置对的均值差量化，遵循正交替换设计：规则 = E_rules_v2 vs A_bare；骨架 = H4_sop_only vs E_rules_v2；详细内容 = G_template_rules vs H3_skeleton；示例 = H2_keep_examples vs G_template_rules。评分者间一致性采用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