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生成医学实验室 QMS 文件的 ISO 15189 合规性：Claude Opus 4.6 vs. GPT-5.4 跨 prompt 配置评估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 LLM 生成 QMS 文件在不同 prompt 配置下的 ISO 15189:2022 合规性，并刻画 LLM-as-judge 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：我们使用 Claude Opus 4.6（9 配置 × 15 任务 × 3 重复 = 405）与 GPT-5.4（81 份用于跨模型验证）共生成 486 份 QMS 文件，涵盖 4 个 prompt 内容维度（规则、文档骨架、详细内容、worked examples；0–56,000 tokens）。合规性按 0–5 Likert 量纲在三层框架下评分：自动化规则式评分器；双 LLM-as-judge 评审（864 条评分）；以及 3 位 ISO 15189 资格内审员对 10 份分层抽样文件的盲法评审。消融效应采用 Mann–Whitney U 检验配合 BH 校正与 bootstrap 95% CI；评审员一致性采用 ICC 变体。</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p&lt;0.001）。C_full（~56,000 tokens）在 Claude 下评分 3.22–4.56，在 GPT-5.4 下仅 1.40–1.84。两位 LLM 评审均将 Claude 生成输出评得比 GPT 生成高约 0.30 分（Panickssery：Claude +0.29，GPT −0.30），集中表现于 C_full 且与经典自偏好不兼容。专家间一致性极佳 [ICC(2,k)=0.982]；Claude 评审与专家一致性中等 [ICC(3,1)=0.548]，GPT 评审较差 [ICC(3,1)=0.217]；两位 LLM 评审均把专家评分高估 0.52–0.90 分。LLM 偏好的 H4_sop_only（~2,000 tokens）在专家评估下跌至 7 配置中的第 5 名（3.20），而模板锚定的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prompt（~1,000–2,000 tokens）适用于探索性草稿；模板锚定 prompt（~15,000–16,000 tokens）对认可级文件属必需；C_full（~56,000 tokens）在 GPT-5.4 下避免使用。LLM-as-judge 可作首道筛选；专家终审仍属必需。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−1.378）；后续重复研究应分别报告各配置的偏差分布，以区分长上下文特异性效应与配置无关的判官偏好。所抽样的 10 份文件全部为 A 类程序文件（§2.3.3）；推广至 B 类（体系运行）与 C 类（审核模拟）任务需另行验证。跨单位 3 至 5 位评分员 × 30 至 50 份文件 / 单位（且包含匹配的 GPT 生成样本与 B/C 类任务）的多中心验证，是关键的未来工作。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归档（DOI：[10.5281/zenodo.20091464](https://doi.org/10.5281/zenodo.20091464)）。</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San Francisco (CA): Anthropic; 2025. Available at: https://www.anthropic.com/claude. [Accessed 9 May 2026].</w:t>
      </w:r>
    </w:p>
    <w:p>
      <w:pPr>
        <w:spacing w:before="80" w:after="80" w:lineRule="auto" w:line="360"/>
        <w:ind w:firstLine="0"/>
        <w:jc w:val="both"/>
      </w:pPr>
      <w:r>
        <w:rPr>
          <w:rFonts w:ascii="Times New Roman" w:hAnsi="Times New Roman" w:eastAsia="宋体"/>
          <w:b w:val="0"/>
          <w:sz w:val="22"/>
        </w:rPr>
        <w:t>2. OpenAI. GPT-5 System Card. San Francisco (CA): OpenAI; 2025. Available at: https://openai.com/index/gpt-5-system-card/. [Accessed 9 May 2026].</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36 (NeurIPS 2023) Datasets and Benchmarks Track.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the 62nd Annual Meeting of the Association for Computational Linguistics (ACL 2024); 2024 Aug 11–16; Bangkok, Thailand. Stroudsburg (PA): Association for Computational Linguistics;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