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95% CI (0.28, 0.75); BH-adjusted p &lt; 0.001]. C_full (~56,000 tokens) scored 3.22–4.56 with Claude but only 1.40–1.84 with GPT-5.4. Both judges rated Claude outputs ~0.3 points higher, driven by C_full and incompatible with classical self-preference. Expert agreement was excellent [ICC(2,k) = 0.982]; judge–expert agreement was at best moderate with wide CIs crossing zero, and judges overestimated experts by 0.52–0.90 points. H4_sop_only fell to fifth under expert review;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10.5281/zenodo.20091464; https://doi.org/10.5281/zenodo.20091464).</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