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评判者层，只有“规则”成分显著提高合规分［Δ=0.511，95% CI（0.28, 0.75）；BH-adjusted p&lt;0.001］。C_full（~56,000 tokens）在 Claude 下评分 3.22–4.56，在 GPT-5.4 下仅 1.40–1.84。两位评判者都把 Claude 生成的输出评得高约 0.3 分，主要由 C_full 驱动，与经典自我偏好不符。专家间一致性极佳［ICC(2,k)=0.982］；评判者与专家一致性至多中等、置信区间宽且跨过 0，两位评判者把专家评分高估 0.52–0.90 分。H4_sop_only 在专家评估下跌至第 5，带完整文档模板的配置排名最高（4.06–4.24）。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tokens）较适合需后续人工把关的探索性草稿；拟提交认可的文件以带完整文档模板的 prompt（~15,000–16,000 tokens）表现更好；C_full 在 GPT-5.4 下表现明显下降、宜谨慎使用——此项基于 3 个任务、未经专家层验证，属初步观察。LLM-as-judge 可用于初筛，但专家终审仍不可或缺。</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 Table 1 的五维度评分量规——条款满足度、可操作性、内部一致性、PDCA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补上——Table 1 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 Table 1 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1 给出了 5 分、3 分、1 分的明确标准（分别对应完全符合、部分符合、严重不符）；中间的 4、2 分由评分者在相邻两档之间判断；0 分表示该维度无法评估。这些标准对所有评判者与专家完全一致。</w:t>
      </w:r>
    </w:p>
    <w:p>
      <w:pPr>
        <w:spacing w:before="120" w:after="40" w:lineRule="auto" w:line="360"/>
        <w:ind w:firstLine="0"/>
        <w:jc w:val="center"/>
      </w:pPr>
      <w:r>
        <w:rPr>
          <w:rFonts w:ascii="Times New Roman" w:hAnsi="Times New Roman" w:eastAsia="宋体"/>
          <w:b/>
          <w:i w:val="0"/>
          <w:sz w:val="24"/>
        </w:rPr>
        <w:t>Table 1. Tier 2a/2b 与 Tier 3 共用的五维度评分量规。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维度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5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3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1 分标准</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条款满足度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可操作性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内部一致性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闭环</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专业深度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内容泛泛，可套用于任何实验室</w:t>
            </w:r>
          </w:p>
        </w:tc>
      </w:tr>
    </w:tbl>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3）显示规则效应在三类任务中方向一致，不支持该效应由个别任务驱动。四个成分对比之间存在配置重叠、并不独立，因此多重比较用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3）。我们特意用这种最直接的对比而非更复杂的统计模型，因为它最直观、最好解读。需说明的是，9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2）。综合分由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2.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3。</w:t>
      </w:r>
    </w:p>
    <w:p>
      <w:pPr>
        <w:spacing w:before="120" w:after="40" w:lineRule="auto" w:line="360"/>
        <w:ind w:firstLine="0"/>
        <w:jc w:val="center"/>
      </w:pPr>
      <w:r>
        <w:rPr>
          <w:rFonts w:ascii="Times New Roman" w:hAnsi="Times New Roman" w:eastAsia="宋体"/>
          <w:b/>
          <w:i w:val="0"/>
          <w:sz w:val="24"/>
        </w:rPr>
        <w:t>Table 3.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3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4，结果与 LLM 评判者层几乎相反（Figure 4b）。</w:t>
      </w:r>
    </w:p>
    <w:p>
      <w:pPr>
        <w:spacing w:before="120" w:after="40" w:lineRule="auto" w:line="360"/>
        <w:ind w:firstLine="0"/>
        <w:jc w:val="center"/>
      </w:pPr>
      <w:r>
        <w:rPr>
          <w:rFonts w:ascii="Times New Roman" w:hAnsi="Times New Roman" w:eastAsia="宋体"/>
          <w:b/>
          <w:i w:val="0"/>
          <w:sz w:val="24"/>
        </w:rPr>
        <w:t>Table 4.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5）。</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5。关键的取舍（第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5.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5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4）。但无论哪类配置，生成的都只是供参考的初稿，不能直接提交认可。极简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归档（DOI：10.5281/zenodo.20091464；https://doi.org/10.5281/zenodo.20091464）。</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2）与专家小组（Table 4）的配置排名对比：LLM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