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systematic substitution along four binary dimensions—rules, skeleton, detailed content, and examples—with token sizes ranging from 0 to 56 K. Three evaluation tiers were applied: (1) a Python automated compliance scorer; (2) dual LLM-as-Judge review by Claude and GPT-5.4 (864 ratings = 378 Claude-judge + 486 GPT-judge,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substitution-contrast ablation (Benjamini–Hochberg FDR-adjusted) showed that, at the LLM-judge tier, only the rules layer reached significance (Δ = +0.511; BH-adjusted p &lt; 0.001); the skeleton layer (Δ = +0.213; BH-adjusted p = 0.11), detailed content (Δ = −0.031; BH-adjusted p = 0.79), and examples (Δ = −0.053; BH-adjusted p = 0.61) did not. (2) The full-context configuration C_full (56 K) yielded cross-evaluated scores of 3.22–4.56 under Claude generation but dropped to 1.40–1.84 under GPT-5.4 generation, indicating that long-context exploitation in this scenario is model-specific to Claude Opus. (3) Claude-as-judge exhibited a self-preference bias of approximately +0.46, whereas GPT-as-judge showed an inverse bias of approximately −0.47.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(2 K skeleton), ranked second-to-last under expert evaluation (3.20, n = 2), whereas template-based configurations F_template (15 K), H2_keep_examples (25 K), and G_template_rules (16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(2 K) or E_rules (3 K); scenarios involving formal submission and CNAS accreditation application should adopt G_template_rules (16 K) or F_template (15 K). C_full (56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 xml:space="preserve">ISO 15189:2022 *Medical laboratories — Requirements for quality and competence* is the international standard for medical laboratory accreditation, and adoption by Chinese medical laboratories has continued to expand under the China National Accreditation Service for Conformity Assessment (CNAS) framework [14]. CNAS-CL02:2023, the corresponding implementation document, was released in parallel. Such standards prescribe what laboratories *should do* but not *how to do it*, requiring each laboratory to construct, on its own, a complete </w:t>
      </w:r>
      <w:r>
        <w:rPr>
          <w:rFonts w:ascii="Times New Roman" w:hAnsi="Times New Roman" w:eastAsia="宋体"/>
          <w:b/>
          <w:sz w:val="22"/>
        </w:rPr>
        <w:t>quality management system (QMS) documentation</w:t>
      </w:r>
      <w:r>
        <w:rPr>
          <w:rFonts w:ascii="Times New Roman" w:hAnsi="Times New Roman" w:eastAsia="宋体"/>
          <w:b w:val="0"/>
          <w:sz w:val="22"/>
        </w:rPr>
        <w:t xml:space="preserve"> covering the quality manual, procedure documents, and standard operating instructions. Based on the corresponding author's experience as an ISO 15189 assessor, such a system in a typical tertiary-level hospital clinical laboratory contains on the order of 100–300 controlled documents and spans structural organisation, clause mapping, form numbering, and responsibility assignment; manual drafting by the quality team typically takes several months, followed by several rounds of internal audit before the system can be finalised. Laboratories pursuing CNAS accreditation generally engage technical experts or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demonstrated competence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surveys of LLM behaviour and prompting [4, 12] have focused on general-purpose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systematic substitution along four binary dimensions: rules, skeleton, detailed content, and examples (Figure 1). Among them, A_bare (0 K) and B_simple (0.3 K) served as baselines; C_full (56 K) represented the full-context input strategy; E_rules (1.2 K) contained only the rules layer; F_template (15 K) contained the complete template without rules; G_template_rules (16 K) combined rules and template; H2_keep_examples (25 K) retained examples in addition to G; H3_skeleton (5 K) preserved the module skeleton while removing detailed content; and H4_sop_only (2 K) preserved only the single SOP skeleton most relevant to the task. The letter D is intentionally skipped in the alphabetic sequence: D_rules was an earlier rules variant that was deprecated after expert validation revealed terminology errors, and was replaced by E_rules_v2; the gap is retained to preserve the chronological identifier scheme.</w:t>
      </w:r>
    </w:p>
    <w:p>
      <w:pPr>
        <w:spacing w:before="80" w:after="80" w:lineRule="auto" w:line="360"/>
        <w:ind w:firstLine="0"/>
        <w:jc w:val="both"/>
      </w:pPr>
      <w:r>
        <w:rPr>
          <w:rFonts w:ascii="Times New Roman" w:hAnsi="Times New Roman" w:eastAsia="宋体"/>
          <w:b w:val="0"/>
          <w:sz w:val="22"/>
        </w:rPr>
        <w:t>The rules layer was based on rules.md (1.2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fenced code blocks (markdown ... constructs containing process diagrams, JSON snippets, or pseudocode).</w:t>
      </w:r>
    </w:p>
    <w:p>
      <w:pPr>
        <w:spacing w:before="80" w:after="80" w:lineRule="auto" w:line="360"/>
        <w:ind w:firstLine="0"/>
        <w:jc w:val="both"/>
      </w:pPr>
      <w:r>
        <w:rPr>
          <w:rFonts w:ascii="Times New Roman" w:hAnsi="Times New Roman" w:eastAsia="宋体"/>
          <w:b w:val="0"/>
          <w:sz w:val="22"/>
        </w:rPr>
        <w:t>All token counts reported in this study (K = thousand tokens) were computed using the cl100k_base tokenizer (OpenAI tiktoken library) and divided by 1000; for mixed Chinese–English medical text, this tokenizer typically differs from the Anthropic-native tokenizer by ≤10%, and is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primary experiment used Claude Opus 4.6 (Anthropic, San Francisco, CA, USA), accessed through the Claude Code Agent interface (Anthropic's command-line agent framework) operated in text-generation mode: sub-agents returned text-only responses and no agentic tool calls (file system, web access, code execution) were performed during document generation, although the Claude Code framework's tool definitions remain present in the framework-level system prompt (see §4.5 limitation xiii). The model was evaluated across 9 prompting configurations, 15 QMS authoring tasks, and 3 independent replicates per cell, yielding 405 documents. The 15 tasks were stratified by CNAS audit scenarios into three classes of five tasks each: Class A (document drafting; e.g., personnel-training and competence-evaluation control procedures), Class B (system operation; e.g., annual internal-audit checklists), and Class C (audit simulation; e.g., review reports for internal quality-control procedure documents). The full task list and the original prompts are openly archived in the GitHub repository under task_messages/ and configs/. For cross-model validation, GPT-5.4 (OpenAI, San Francisco, CA, USA) was accessed through the official openai Python SDK (≥ v1.0) configured with the AIHubMix endpoint (https://aihubmix.com) as the base URL; this routing was used because direct access to the OpenAI API was unavailable from the authors' geographic region during the study period. (Output directories use a legacy gpt4o_* prefix carried over from an earlier scripting iteration; the actual runtime model in all calls was GPT-5.4 as supplied to the SDK model parameter.) GPT-5.4 was evaluated on the same 9 configurations across one representative task from each class (A1, B1, and C1, defined as the first task in each class by index) with 3 replicates, yielding 81 documents. Both models received identical system-prompt configurations within each experimental cell and were run with identical generation parameters: temperature = 1.0 and max_tokens = 12,000; all other generation parameters used model defaults. The relatively high sampling temperature was chosen to reflect realistic interactive use, and three independent replicates per cell were included to capture the resulting stochastic variability. All API calls were executed between 2 April 2026 and 14 April 2026.</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val="0"/>
          <w:sz w:val="22"/>
        </w:rPr>
        <w:t>Compliance was evaluated through a complementary three-tier framework: an automated rule-based scorer (Tier 1), dual LLM-as-judge review (Tiers 2a and 2b), and independent blinded expert review (Tier 3). All three tiers reported scores on a common 0–5 integer scale; Tier 1 used an algorithmic rubric tailored to features that can be reliably detected by rule-based code, whereas Tiers 2 and 3 shared the descriptive five-dimensional rubric defined in Table 2.</w:t>
      </w:r>
    </w:p>
    <w:p>
      <w:pPr>
        <w:spacing w:before="80" w:after="80" w:lineRule="auto" w:line="360"/>
        <w:ind w:firstLine="0"/>
        <w:jc w:val="both"/>
      </w:pPr>
      <w:r>
        <w:rPr>
          <w:rFonts w:ascii="Times New Roman" w:hAnsi="Times New Roman" w:eastAsia="宋体"/>
          <w:b w:val="0"/>
          <w:sz w:val="22"/>
        </w:rPr>
        <w:t>#### 2.3.1 Tier 1 — Automated compliance scoring</w:t>
      </w:r>
    </w:p>
    <w:p>
      <w:pPr>
        <w:spacing w:before="80" w:after="80" w:lineRule="auto" w:line="360"/>
        <w:ind w:firstLine="0"/>
        <w:jc w:val="both"/>
      </w:pPr>
      <w:r>
        <w:rPr>
          <w:rFonts w:ascii="Times New Roman" w:hAnsi="Times New Roman" w:eastAsia="宋体"/>
          <w:b w:val="0"/>
          <w:sz w:val="22"/>
        </w:rPr>
        <w:t xml:space="preserve">A Python automated compliance scorer (auto_scorer.py, openly released; see Data availability) rated all 486 documents on </w:t>
      </w:r>
      <w:r>
        <w:rPr>
          <w:rFonts w:ascii="Times New Roman" w:hAnsi="Times New Roman" w:eastAsia="宋体"/>
          <w:b/>
          <w:sz w:val="22"/>
        </w:rPr>
        <w:t>three primary dimensions</w:t>
      </w:r>
      <w:r>
        <w:rPr>
          <w:rFonts w:ascii="Times New Roman" w:hAnsi="Times New Roman" w:eastAsia="宋体"/>
          <w:b w:val="0"/>
          <w:sz w:val="22"/>
        </w:rPr>
        <w:t>, which were combined into a weighted composite score.</w:t>
      </w:r>
    </w:p>
    <w:p>
      <w:pPr>
        <w:spacing w:before="80" w:after="80" w:lineRule="auto" w:line="360"/>
        <w:ind w:firstLine="0"/>
        <w:jc w:val="both"/>
      </w:pPr>
      <w:r>
        <w:rPr>
          <w:rFonts w:ascii="Times New Roman" w:hAnsi="Times New Roman" w:eastAsia="宋体"/>
          <w:b/>
          <w:sz w:val="22"/>
        </w:rPr>
        <w:t>Format.</w:t>
      </w:r>
      <w:r>
        <w:rPr>
          <w:rFonts w:ascii="Times New Roman" w:hAnsi="Times New Roman" w:eastAsia="宋体"/>
          <w:b w:val="0"/>
          <w:sz w:val="22"/>
        </w:rPr>
        <w:t xml:space="preserve"> Required section headings were matched against task-class-specific lists (Class A procedure documents: 8 sections; Class B checklists/reports: 6 sections; Class C audit reports: 7 sections; common synonyms accepted), with additional checks for numbering depth and empty sections. Documents missing ≥3 required sections scored 1; those missing exactly one section scored 3.</w:t>
      </w:r>
    </w:p>
    <w:p>
      <w:pPr>
        <w:spacing w:before="80" w:after="80" w:lineRule="auto" w:line="360"/>
        <w:ind w:firstLine="0"/>
        <w:jc w:val="both"/>
      </w:pPr>
      <w:r>
        <w:rPr>
          <w:rFonts w:ascii="Times New Roman" w:hAnsi="Times New Roman" w:eastAsia="宋体"/>
          <w:b/>
          <w:sz w:val="22"/>
        </w:rPr>
        <w:t>Clause coverage.</w:t>
      </w:r>
      <w:r>
        <w:rPr>
          <w:rFonts w:ascii="Times New Roman" w:hAnsi="Times New Roman" w:eastAsia="宋体"/>
          <w:b w:val="0"/>
          <w:sz w:val="22"/>
        </w:rPr>
        <w:t xml:space="preserve"> Regular-expression matching identified ISO 15189:2022 clause identifiers from chapters 4–8 (e.g., 5.4.1), filtered by a ±40-character context window to suppress spurious matches. Documents citing ≥10 unique clauses with at least one CNAS-CL02:2023 reference scored 5; documents containing no standard reference scored 1.</w:t>
      </w:r>
    </w:p>
    <w:p>
      <w:pPr>
        <w:spacing w:before="80" w:after="80" w:lineRule="auto" w:line="360"/>
        <w:ind w:firstLine="0"/>
        <w:jc w:val="both"/>
      </w:pPr>
      <w:r>
        <w:rPr>
          <w:rFonts w:ascii="Times New Roman" w:hAnsi="Times New Roman" w:eastAsia="宋体"/>
          <w:b/>
          <w:sz w:val="22"/>
        </w:rPr>
        <w:t>Terminology compliance.</w:t>
      </w:r>
      <w:r>
        <w:rPr>
          <w:rFonts w:ascii="Times New Roman" w:hAnsi="Times New Roman" w:eastAsia="宋体"/>
          <w:b w:val="0"/>
          <w:sz w:val="22"/>
        </w:rPr>
        <w:t xml:space="preserve"> This dimension internally aggregates two complementary checks. (i) *Terminology mapping*: a 14-term mapping table aligned with the ISO 15189:2022 / CNAS-CL02:2023 vocabulary was applied; for example, 分析前过程 ("pre-analytical process") → 检验前过程 ("pre-examination process"), 标本 ("specimen") → 样品 ("sample"), and 不确定度 ("uncertainty") → 测量不确定度 ("measurement uncertainty"). Context-exclusion rules were applied to avoid false positives — for instance, 不确定度 occurring within the longer phrase 测量不确定度 was not flagged. (ii) *Vague-expression detection*: stock vague expressions characteristic of low-quality QMS drafts—including 及时 ("in a timely manner"), 相关人员 ("relevant personnel"), and 定期 ("periodically")—were detected using two complementary filters: a compound-word whitelist and a 30-character trailing window for explicit frequency quantifiers (e.g., a phrase anchored to "weekly" or "annually" was not flagged).</w:t>
      </w:r>
    </w:p>
    <w:p>
      <w:pPr>
        <w:spacing w:before="80" w:after="80" w:lineRule="auto" w:line="360"/>
        <w:ind w:firstLine="0"/>
        <w:jc w:val="both"/>
      </w:pPr>
      <w:r>
        <w:rPr>
          <w:rFonts w:ascii="Times New Roman" w:hAnsi="Times New Roman" w:eastAsia="宋体"/>
          <w:b/>
          <w:sz w:val="22"/>
        </w:rPr>
        <w:t>Composite score.</w:t>
      </w:r>
      <w:r>
        <w:rPr>
          <w:rFonts w:ascii="Times New Roman" w:hAnsi="Times New Roman" w:eastAsia="宋体"/>
          <w:b w:val="0"/>
          <w:sz w:val="22"/>
        </w:rPr>
        <w:t xml:space="preserve"> The three measured dimensions were combined into a weighted aggregate (auto_weighted) using fixed weights defined in the WEIGHTS dictionary of auto_scorer.py: format = 0.18, clause coverage = 0.22, terminology = 0.13 (sum 0.53). The dictionary additionally contains four entries from an originally planned 7-dimension scheme — logical consistency = 0.18, operability = 0.10, safety compliance = 0.09, and manual-revision burden = 0.10 (sum 0.47) — that were not implemented in the current scorer; these four dimensions are filled with a neutral default of 3.0 for every document, contributing a constant offset of 0.47 × 3.0 = 1.41 to every auto_weighted value. The weights sum to 1.00, so the theoretical range of auto_weighted is [1.41, 4.06]. Because the same constant offset applies to every document, it cancels in all between-configuration comparisons and therefore does not affect the relative ranking reported in §3.</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Two LLM judges were deployed in a 2 × 2 symmetric cross-model design—Claude-generated × Claude-judge, Claude-generated × GPT-judge, GPT-generated × Claude-judge, and GPT-generated × GPT-judge—enabling orthogonal decomposition of self-preference bias.</w:t>
      </w:r>
    </w:p>
    <w:p>
      <w:pPr>
        <w:spacing w:before="80" w:after="80" w:lineRule="auto" w:line="360"/>
        <w:ind w:firstLine="0"/>
        <w:jc w:val="both"/>
      </w:pPr>
      <w:r>
        <w:rPr>
          <w:rFonts w:ascii="Times New Roman" w:hAnsi="Times New Roman" w:eastAsia="宋体"/>
          <w:b/>
          <w:sz w:val="22"/>
        </w:rPr>
        <w:t>Tier 2a (Claude-as-judge).</w:t>
      </w:r>
      <w:r>
        <w:rPr>
          <w:rFonts w:ascii="Times New Roman" w:hAnsi="Times New Roman" w:eastAsia="宋体"/>
          <w:b w:val="0"/>
          <w:sz w:val="22"/>
        </w:rPr>
        <w:t xml:space="preserve"> Claude Opus 4.6 served as judge under a "CNAS chief assessor" role prompt (the JUDGE_PROMPT_TEMPLATE defined in gpt_cnas_judge.py, identical to the prompt used in Tier 2b), scoring each document on the five-dimensional rubric (Table 2) on a 0–5 scale. Generation parameters were temperature = 1.0 and max_tokens = 4,096; one rating was produced per document via a single API call. A total of 378 Claude-judge ratings were obtained, distributed as: 270 ratings covering the six core configurations (A_bare, B_simple, C_full, E_rules, F_template, G_template_rules) × 15 tasks × 3 replicates of Claude-generated documents (per-document raw JSON fully released); 81 ratings covering all 9 configurations × A1/B1/C1 × 3 replicates of GPT-generated documents (archived as aggregated means; see §4.5, Limitation x); and 27 ratings covering the H-group configurations (H2_keep_examples, H3_skeleton, H4_sop_only) × A1/B1/C1 × 3 replicates of Claude-generated documents (also archived as aggregated means).</w:t>
      </w:r>
    </w:p>
    <w:p>
      <w:pPr>
        <w:spacing w:before="80" w:after="80" w:lineRule="auto" w:line="360"/>
        <w:ind w:firstLine="0"/>
        <w:jc w:val="both"/>
      </w:pPr>
      <w:r>
        <w:rPr>
          <w:rFonts w:ascii="Times New Roman" w:hAnsi="Times New Roman" w:eastAsia="宋体"/>
          <w:b/>
          <w:sz w:val="22"/>
        </w:rPr>
        <w:t>Tier 2b (GPT-as-judge).</w:t>
      </w:r>
      <w:r>
        <w:rPr>
          <w:rFonts w:ascii="Times New Roman" w:hAnsi="Times New Roman" w:eastAsia="宋体"/>
          <w:b w:val="0"/>
          <w:sz w:val="22"/>
        </w:rPr>
        <w:t xml:space="preserve"> GPT-5.4, accessed through the AIHubMix endpoint as described in §2.2, served as judge using exactly the same prompt, rubric, and 0–5 scale as Tier 2a, with identical generation parameters (temperature = 1.0, max_tokens = 4,096). All 486 generated documents were rated (405 Claude-generated + 81 GPT-generated), with one rating per document; per-document raw JSON files are fully retained and openly released. We verified that no judge output was truncated by the max_tokens cap: all 486 GPT-judge per-paper JSON files parsed successfully (zero parse errors), and the longest per-dimension reason string observed across both judges was 43 characters, well within the prompt-imposed 40-character soft cap and far below the 4,096-token output budget.</w:t>
      </w:r>
    </w:p>
    <w:p>
      <w:pPr>
        <w:spacing w:before="80" w:after="80" w:lineRule="auto" w:line="360"/>
        <w:ind w:firstLine="0"/>
        <w:jc w:val="both"/>
      </w:pPr>
      <w:r>
        <w:rPr>
          <w:rFonts w:ascii="Times New Roman" w:hAnsi="Times New Roman" w:eastAsia="宋体"/>
          <w:b w:val="0"/>
          <w:sz w:val="22"/>
        </w:rPr>
        <w:t>Combined, Tiers 2a and 2b yielded 864 LLM-judge ratings (378 Claude-judge + 486 GPT-judge). The asymmetric counts reflect that the Claude judge was not run on the H-group × full-15-task subset or on the complete GPT-generated set (see §4.5, Limitation x); critically, all four 2 × 2 cells were populated, although some at aggregated-mean level only (see §4.5, Limitation x), ensuring that the self-preference bias decomposition could be performed at the cell-mean level.</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dimension was scored on a 0–5 integer scale: 5 = fully compliant (5-point anchor in Table 2); 4 = mostly compliant (between the 5- and 3-point anchors, minor issues only); 3 = partially compliant (3-point anchor); 2 = noticeably non-compliant (between the 3- and 1-point anchors); 1 = severely non-compliant (1-point anchor); and 0 = the dimension could not be evaluated because the document was essentially absent or non-substantive (e.g., the model returned only a planning query rather than the requested document). The 5/3/1 anchor descriptors were issued in identical wording to all judges (LLM and human); the intermediate scores 2 and 4 were assigned when the document fell between two adjacent anchors.</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through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equally applicable to any laboratory</w:t>
            </w:r>
          </w:p>
        </w:tc>
      </w:tr>
    </w:tbl>
    <w:p/>
    <w:p>
      <w:pPr>
        <w:spacing w:before="80" w:after="80" w:lineRule="auto" w:line="360"/>
        <w:ind w:firstLine="0"/>
        <w:jc w:val="both"/>
      </w:pPr>
      <w:r>
        <w:rPr>
          <w:rFonts w:ascii="Times New Roman" w:hAnsi="Times New Roman" w:eastAsia="宋体"/>
          <w:b w:val="0"/>
          <w:sz w:val="22"/>
        </w:rPr>
        <w:t>#### 2.3.3 Tier 3 — Expert review</w:t>
      </w:r>
    </w:p>
    <w:p>
      <w:pPr>
        <w:spacing w:before="80" w:after="80" w:lineRule="auto" w:line="360"/>
        <w:ind w:firstLine="0"/>
        <w:jc w:val="both"/>
      </w:pPr>
      <w:r>
        <w:rPr>
          <w:rFonts w:ascii="Times New Roman" w:hAnsi="Times New Roman" w:eastAsia="宋体"/>
          <w:b w:val="0"/>
          <w:sz w:val="22"/>
        </w:rPr>
        <w:t>Three qualified ISO 15189 internal auditors independently scored 10 blinded, stratified-randomly sampled documents using the same five-dimensional rubric (Table 2) as the LLM judges. Rater 1 was the first author, who holds prior ISO 15189 accreditation-assessment experience; Raters 2 and 3 were qualified ISO 15189 internal auditors from the same institution. To minimise self-influence, Rater 1 completed scoring without inspecting any Tier 1 or Tier 2 outputs in advance; the Tier 1/2 outputs for the sampled papers were reviewed only after all three rater sheets had been submitted. The three raters scored independently and without communication; Raters 2 and 3 completed their scoring with no access to Rater 1's ratings, and the three rating sets were merged only after all submissions had been received. Written informed consent was obtained from Raters 2 and 3 before scoring. During scoring, the experts were free to consult the complete texts of ISO 15189:2022 and CNAS-CL02:2023, including their annexes.</w:t>
      </w:r>
    </w:p>
    <w:p>
      <w:pPr>
        <w:spacing w:before="80" w:after="80" w:lineRule="auto" w:line="360"/>
        <w:ind w:firstLine="0"/>
        <w:jc w:val="both"/>
      </w:pPr>
      <w:r>
        <w:rPr>
          <w:rFonts w:ascii="Times New Roman" w:hAnsi="Times New Roman" w:eastAsia="宋体"/>
          <w:b/>
          <w:sz w:val="22"/>
        </w:rPr>
        <w:t>Sampling strategy.</w:t>
      </w:r>
      <w:r>
        <w:rPr>
          <w:rFonts w:ascii="Times New Roman" w:hAnsi="Times New Roman" w:eastAsia="宋体"/>
          <w:b w:val="0"/>
          <w:sz w:val="22"/>
        </w:rPr>
        <w:t xml:space="preserve"> Ten documents were drawn from the 486-document pool by stratified random sampling with a fixed Python random seed (seed = 42), stratified across seven core configurations × Class A procedure-document tasks (A1, A2, A3) — yielding a 21-stratum frame. The sample size of 10 was chosen to balance expert workload against stratification coverage; not all 21 strata are represented in the final sample (one or two documents per realised stratum). Class A was chosen because it constitutes the most stable and audit-relevant document type in CNAS reviews; cross-class generalisation is acknowledged as a limitation in §4.5.</w:t>
      </w:r>
    </w:p>
    <w:p>
      <w:pPr>
        <w:spacing w:before="80" w:after="80" w:lineRule="auto" w:line="360"/>
        <w:ind w:firstLine="0"/>
        <w:jc w:val="both"/>
      </w:pPr>
      <w:r>
        <w:rPr>
          <w:rFonts w:ascii="Times New Roman" w:hAnsi="Times New Roman" w:eastAsia="宋体"/>
          <w:b/>
          <w:sz w:val="22"/>
        </w:rPr>
        <w:t>Conflict-of-interest declaration.</w:t>
      </w:r>
      <w:r>
        <w:rPr>
          <w:rFonts w:ascii="Times New Roman" w:hAnsi="Times New Roman" w:eastAsia="宋体"/>
          <w:b w:val="0"/>
          <w:sz w:val="22"/>
        </w:rPr>
        <w:t xml:space="preserve"> None of the three raters has any commercial, research, or consulting relationship with Anthropic, OpenAI, or any other LLM provider; none received funding or in-kind support from these entities for this study.</w:t>
      </w:r>
    </w:p>
    <w:p>
      <w:pPr>
        <w:spacing w:before="80" w:after="80" w:lineRule="auto" w:line="360"/>
        <w:ind w:firstLine="0"/>
        <w:jc w:val="both"/>
      </w:pP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(Table 2) and the ISO 15189:2022 / CNAS-CL02:2023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 openly released):</w:t>
      </w:r>
    </w:p>
    <w:p>
      <w:pPr>
        <w:spacing w:before="80" w:after="80" w:lineRule="auto" w:line="360"/>
        <w:ind w:firstLine="0"/>
        <w:jc w:val="both"/>
      </w:pPr>
      <w:r>
        <w:rPr>
          <w:rFonts w:ascii="Times New Roman" w:hAnsi="Times New Roman" w:eastAsia="宋体"/>
          <w:b w:val="0"/>
          <w:sz w:val="22"/>
        </w:rPr>
        <w:t>(i) *File renaming.* Each sampled document was copied from its original path outputs/{group}/{group}-{task}-{rep}.md to a flat anonymised series paper_01.md … paper_10.md, removing the configuration-group and replicate identifiers from both the filename and the directory structure presented to the experts.</w:t>
      </w:r>
    </w:p>
    <w:p>
      <w:pPr>
        <w:spacing w:before="80" w:after="80" w:lineRule="auto" w:line="360"/>
        <w:ind w:firstLine="0"/>
        <w:jc w:val="both"/>
      </w:pPr>
      <w:r>
        <w:rPr>
          <w:rFonts w:ascii="Times New Roman" w:hAnsi="Times New Roman" w:eastAsia="宋体"/>
          <w:b w:val="0"/>
          <w:sz w:val="22"/>
        </w:rPr>
        <w:t>(ii) *Content sanitisation.* An automated text scan of all 10 blinded files confirmed zero occurrences of any model identifier ("Claude", "GPT", "Opus") or configuration-group token ("H4", "C_full", "G_template", "F_template", "H2_keep", "E_rules", "A_bare", "H3_skeleton") within the document body, ensuring that the model and configuration source could not be inferred from the text.</w:t>
      </w:r>
    </w:p>
    <w:p>
      <w:pPr>
        <w:spacing w:before="80" w:after="80" w:lineRule="auto" w:line="360"/>
        <w:ind w:firstLine="0"/>
        <w:jc w:val="both"/>
      </w:pPr>
      <w:r>
        <w:rPr>
          <w:rFonts w:ascii="Times New Roman" w:hAnsi="Times New Roman" w:eastAsia="宋体"/>
          <w:b w:val="0"/>
          <w:sz w:val="22"/>
        </w:rPr>
        <w:t>(iii) *Order randomisation.* The assignment of (group, task, replicate) triples to paper_01–paper_10 was shuffled using a fixed Python random seed (seed = 42), producing an identical presentation order for all three experts. Only the task category (e.g., "Personnel training and competence-evaluation control procedure") was disclosed in the rating sheet, because this information is intrinsic to the document content and necessary for assessment; the underlying configuration group remained hidden.</w:t>
      </w:r>
    </w:p>
    <w:p>
      <w:pPr>
        <w:spacing w:before="80" w:after="80" w:lineRule="auto" w:line="360"/>
        <w:ind w:firstLine="0"/>
        <w:jc w:val="both"/>
      </w:pPr>
      <w:r>
        <w:rPr>
          <w:rFonts w:ascii="Times New Roman" w:hAnsi="Times New Roman" w:eastAsia="宋体"/>
          <w:b w:val="0"/>
          <w:sz w:val="22"/>
        </w:rPr>
        <w:t>(iv) *Key isolation.* The (paper_id → group, task, replicate) mapping (blind_review/key.json) was sealed before scoring began and was unsealed only after all three expert rating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xml:space="preserve">Pairwise between-group comparisons used the two-sided Mann–Whitney U test (scipy.stats.mannwhitneyu) on per-paper GPT-judge scores (n = 45 per group: 15 tasks × 3 replicates). Multiple-comparison adjustment within the four-factor ablation used the Benjamini–Hochberg false-discovery-rate (FDR) procedure (statsmodels.stats.multitest.multipletests, method='fdr_bh', α = 0.05); BH was preferred over Bonferroni given the exploratory nature of the four-contrast ablation. The four configuration-component effects were quantified under an orthogonal substitution scheme using targeted configuration contrasts: rules = E_rules_v2 vs A_bare; skeleton = H4_sop_only vs E_rules_v2; detailed content = G_template_rules vs H3_skeleton; examples = H2_keep_examples vs G_template_rules. Each effect Δ was defined as a *simple arithmetic mean difference*, Δ = mean(group_B) − mean(group_A), where each group mean is the unweighted average of the 45 per-paper GPT-judge scores in that configuration; no covariates, random effects, weighting, or shrinkage were applied. The same 45-per-group sample served as input to the corresponding Mann–Whitney U test reported alongside each Δ. No L9 orthogonal-array decomposition, least-squares-means estimation, or mixed-effects modelling was used. Inter-rater agreement was assessed by three complementary measures: Pearson correlation captures linear association while tolerating systematic shift between raters; Spearman correlation assesses rank-order agreement without assuming linearity; and intraclass correlation coefficients quantify reliability under the standard framework. We report all three to give a complete picture of inter-rater patterns. Four ICC variants defined by Shrout and Fleiss [13] are used: </w:t>
      </w:r>
      <w:r>
        <w:rPr>
          <w:rFonts w:ascii="Times New Roman" w:hAnsi="Times New Roman" w:eastAsia="宋体"/>
          <w:b/>
          <w:sz w:val="22"/>
        </w:rPr>
        <w:t>ICC(2,1)</w:t>
      </w:r>
      <w:r>
        <w:rPr>
          <w:rFonts w:ascii="Times New Roman" w:hAnsi="Times New Roman" w:eastAsia="宋体"/>
          <w:b w:val="0"/>
          <w:sz w:val="22"/>
        </w:rPr>
        <w:t xml:space="preserve"> (single-rater absolute agreement, two-way random effects) and </w:t>
      </w:r>
      <w:r>
        <w:rPr>
          <w:rFonts w:ascii="Times New Roman" w:hAnsi="Times New Roman" w:eastAsia="宋体"/>
          <w:b/>
          <w:sz w:val="22"/>
        </w:rPr>
        <w:t>ICC(3,1)</w:t>
      </w:r>
      <w:r>
        <w:rPr>
          <w:rFonts w:ascii="Times New Roman" w:hAnsi="Times New Roman" w:eastAsia="宋体"/>
          <w:b w:val="0"/>
          <w:sz w:val="22"/>
        </w:rPr>
        <w:t xml:space="preserve"> (single-rater consistency, two-way mixed effects) for pairwise comparisons (e.g., expert mean vs LLM judge, and rater-pair comparisons within the expert panel); and </w:t>
      </w:r>
      <w:r>
        <w:rPr>
          <w:rFonts w:ascii="Times New Roman" w:hAnsi="Times New Roman" w:eastAsia="宋体"/>
          <w:b/>
          <w:sz w:val="22"/>
        </w:rPr>
        <w:t>ICC(2,k)</w:t>
      </w:r>
      <w:r>
        <w:rPr>
          <w:rFonts w:ascii="Times New Roman" w:hAnsi="Times New Roman" w:eastAsia="宋体"/>
          <w:b w:val="0"/>
          <w:sz w:val="22"/>
        </w:rPr>
        <w:t xml:space="preserve"> and </w:t>
      </w:r>
      <w:r>
        <w:rPr>
          <w:rFonts w:ascii="Times New Roman" w:hAnsi="Times New Roman" w:eastAsia="宋体"/>
          <w:b/>
          <w:sz w:val="22"/>
        </w:rPr>
        <w:t>ICC(3,k)</w:t>
      </w:r>
      <w:r>
        <w:rPr>
          <w:rFonts w:ascii="Times New Roman" w:hAnsi="Times New Roman" w:eastAsia="宋体"/>
          <w:b w:val="0"/>
          <w:sz w:val="22"/>
        </w:rPr>
        <w:t xml:space="preserve"> — the corresponding *averaged k-rater* reliability variants with k = 3 — for the overall reliability of the three-rater expert panel. ICC computation used the pingouin 0.5 Python library. Self-preference bias was quantified by cross-model differencing as bias = (mean own-own) − (mean cross-own). The 9 configurations are not a Taguchi L9 orthogonal array; they form a structured subset of the 4-dimensional configuration space (rules / skeleton / detailed content / examples, each at three levels: absent / partial / full), selected to isolate each dimension through the targeted pairwise contrasts above rather than to satisfy the balanced-orthogonality requirement of an L9 design.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(2 K) first (0.994), H3_skeleton (5 K) second, G_template_rules (16 K) third, H2_keep_examples (25 K) fourth, E_rules (1.2 K) fifth, C_full (56 K) sixth, F_template (15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substitution-contrast ablation</w:t>
      </w:r>
    </w:p>
    <w:p>
      <w:pPr>
        <w:spacing w:before="80" w:after="80" w:lineRule="auto" w:line="360"/>
        <w:ind w:firstLine="0"/>
        <w:jc w:val="both"/>
      </w:pPr>
      <w:r>
        <w:rPr>
          <w:rFonts w:ascii="Times New Roman" w:hAnsi="Times New Roman" w:eastAsia="宋体"/>
          <w:b w:val="0"/>
          <w:sz w:val="22"/>
        </w:rPr>
        <w:t>All four ablation effects are reported with both raw and Benjamini–Hochberg-adjusted p-values. The rules layer was the only factor reaching significance after correction (Δ = +0.511; raw p &lt; 0.001; BH-adjusted p &lt; 0.001). The skeleton layer (Δ = +0.213; raw p = 0.055; BH-adjusted p = 0.11) showed a directional positive effect that did not reach the conventional 0.05 threshold after multiple-comparison correction; we interpret this as suggestive evidence requiring replication. Detailed content (G vs. H3: Δ = −0.031; raw p = 0.79; BH-adjusted p = 0.79) and examples (H2 vs. G: Δ = −0.053; raw p = 0.46; BH-adjusted p = 0.61) showed no statistical contribution. H4 and H3 did not differ (Δ = −0.009, raw p = 0.80; this contrast is descriptive and lies outside the four-factor BH set, hence reported uncorrected), suggesting that the task-specific SOP skeleton (2 K) and the full module skeleton (5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56 K full-context configuration under Claude Opus is model-specific rather than a general result. GPT-5.4 under the 56 K configuration exhibited failure modes including instruction forgetting, structural breakdown, and clause confusion.</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2 K) ranked second-to-last under expert evaluation (only 0.16 above A_bare). Overestimation by the LLM judges was largest for C_full and H4 (Δ = expert − LLM-judges mean = −1.00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(2 K) and then descends, collapsing at C_full; the expert curve peaks at the F/G template region (15–16 K) at 4.24 but reaches only 3.20 at H4 (2 K). The three curves diverge most prominently in the 2–5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the rules layer is necessary (BH-adjusted p &lt; 0.001), the skeleton layer shows a directional benefit that did not reach significance after correction (BH-adjusted p = 0.11), while detailed content and examples contribute nothing. This conclusion is consistent with the lost-in-the-middle theory [3] and with prompt-minimization practice [12]. However, expert-tier analysis overturns this simplification: detailed content (the full template in F and G) substantially improves clinical usability (F 4.24 vs. H4 3.20, a difference of 1.04),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(56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56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1–2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2–5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(56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 (xii) No pre-scoring expert calibration: the three raters scored independently from the published five-dimensional rubric and the ISO 15189:2022 / CNAS-CL02:2023 standards without a prior calibration session in which a few example documents would be scored together to align interpretation. The very high inter-rater agreement [ICC(2,k) = 0.982] indicates that the rubric was sufficiently self-explanatory in this institutional context, but a formal calibration step would strengthen replication in future multi-centre studies. (xiii) Claude Code Agent wrapper: Claude Opus 4.6 generation and Claude-judge ratings were performed via Claude Code's Agent tool rather than through a direct Anthropic REST SDK call. The Claude Code framework adds a constant framework-level system prompt (tool definitions and file-system guidance) on top of each configured QMS-generation or judge prompt; the absolute prompt length seen by the model is therefore larger than the per-configuration token counts reported in §2.1. Because this framework overhead is identical across all 9 configurations and across all judging calls, between-configuration relative comparisons and the relative judge–expert agreement findings remain valid; however, exact reproduction of absolute scores requires the same Claude Code version, and re-running the same configurations through a direct Anthropic SDK call may yield slightly different absolute scores. (xiv) AIHubMix routing not independently audited: GPT-5.4 was accessed via the AIHubMix proxy endpoint, which advertises transparent forwarding to the upstream OpenAI API. We did not independently verify response equivalence against direct OpenAI calls; subtle routing-level differences (request batching, header handling) cannot be ruled out, although the GPT-5.4 model identifier was preserved end-to-end. (xv) Temperature setting: all generations used temperature = 1.0 to reflect realistic interactive use. This introduces stochastic variance (mitigated by the 3 replicates per cell), but reduces strict bit-level reproducibility; future studies seeking deterministic comparison should re-run with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(2 K) achieves the highest composite score; under expert evaluation, F_template (15 K), H2_keep_examples (25 K), and G_template_rules (16 K) tie at the top (mean 4.06–4.24), with H4 ranked second-to-last. Scenarios prioritizing token efficiency and cost control should adopt H4 or E_rules (1–2 K); scenarios requiring formal submission and CNAS accreditation application should adopt G or F (15–16 K); C_full (56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2–5 K while experts prefer 15–25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