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LLM-Generated Medical Laboratory QMS Documents: Claude Opus 4.6 vs. GPT-5.4 Across Prompting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ISO 15189:2022 compliance of LLM-generated QMS documents across prompting configurations and characterise LLM-as-judge biases.</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We generated 486 QMS documents using Claude Opus 4.6 (9 configurations × 15 tasks × 3 replicates = 405) and GPT-5.4 (81 for cross-model validation), spanning four prompt-content dimensions (rules, document skeleton, detailed content, worked examples; 0–56,000 tokens). Compliance was rated on a 0–5 Likert scale via three tiers: an automated rule-based scorer, dual LLM-as-judge review (864 ratings), and blinded review of 10 stratified-sampled documents by three qualified ISO 15189 internal auditors. Ablation effects used Mann–Whitney U with BH correction and bootstrap 95% CIs; inter-rater reliability used ICC variants.</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C_full (~56,000 tokens) scored 3.22–4.56 with Claude vs. 1.40–1.84 with GPT-5.4. Both LLM judges rated Claude-generated outputs ~0.30 points higher (Panickssery: +0.29 Claude, −0.30 GPT), concentrated at C_full and incompatible with classical self-preference. Expert inter-rater agreement was excellent [ICC(2,k) = 0.982]; Claude–expert agreement was moderate [ICC(3,1) = 0.548] and GPT–expert poor [ICC(3,1) = 0.217]; LLM judges overestimated experts by 0.52–0.90 points. The LLM-favoured H4_sop_only (~2,000 tokens) fell to fifth of seven under expert review (3.20),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Optimal configuration depends on evaluation tier: minimal prompts (~1,000–2,000 tokens) for exploratory drafts; template-anchored prompts (~15,000–16,000 tokens) for accreditation submission; C_full (~56,000 tokens) avoided with GPT-5.4. LLM-as-judge may support first-pass screening;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prompt configurations were designed by systematic substitution along four prompt-content dimensions—rules, document skeleton, detailed content, and worked examples—varied across operationally relevant levels: three levels (absent / partial / full) for rules and document skeleton, and binary (absent / present) for detailed content and worked examples (Figure 1). Two minimal configurations served as baselines: A_bare (0 tokens; no system prompt) and B_simple (~300 tokens; a brief task instruction containing six numbered constraints—language, file structure, standard citations, terminology, expression style, and numbering—coded as the partial level of the rules dimension). C_full (~56,000 tokens) represented the full-context input strategy, comprising the laboratory profile and the full set of SOPs concatenated into a single context block; because no standalone enforcement-oriented rule block was supplied, C_full was also coded as the partial level of the rules dimension. E_rules_v2 (~1,200 tokens) contained only the rules component; F_template (~15,000 tokens) contained the complete document template without rules; G_template_rules (~16,000 tokens) combined the rules component with the template; H2_keep_examples (~25,000 tokens) extended G_template_rules with worked examples; H3_skeleton (~5,000 tokens) preserved the module skeleton while removing detailed content; and H4_sop_only (~2,000 tokens) retained only the single SOP skeleton most relevant to the requested task. The letter D is intentionally skipped in the alphabetic sequence: an earlier D_rules variant was deprecated after expert validation identified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val="0"/>
          <w:sz w:val="22"/>
        </w:rPr>
        <w:t>The rules component was derived from a curated rules.md file (~1,200 tokens) and refined through domain-expert review. Three incorrect terminology mappings were removed (instrument → equipment; calibrator product → calibrator; inter-laboratory comparison → proficiency testing) and three target terms were corrected (specimen → sample; test item → measurand; linear range → reportable range); arrows denote the non-preferred → ISO 15189-preferred direction. The final rule set retained 10 verified terminology mappings and seven categories of prohibited vague expressions. The document skeleton was extracted from the institutional template library using a custom *strip_to_skeleton* algorithm, which preserved section headings, each section's introductory paragraph, and form-numbering schemes, while removing verbatim clause excerpts, detailed tabular content, worked examples, step-by-step procedures, and fenced code blocks (markdown ... constructs enclosing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were computed using the cl100k_base tokenizer (OpenAI tiktoken library); for mixed Chinese–English medical text, this tokenizer typically differs from the Anthropic-native tokenizer by ≤10% and was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but their generation parameters were not identical: Claude Opus 4.6 was run through the Claude Code Agent, which does not expose temperature or max_tokens, so neither was set explicitly and their values were determined by the framework; GPT-5.4 was called through the API with temperature = 0.7 and max_completion_tokens = 16,000 set explicitly. Sampling was non-deterministic for both models, and three independent replicates per cell were included to capture the resulting stochastic variability. The consequences of this parameter mismatch for cross-model comparison are discussed in §4.5, Limitation xv.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160" w:after="40" w:lineRule="auto" w:line="300"/>
        <w:jc w:val="left"/>
      </w:pPr>
      <w:r>
        <w:rPr>
          <w:rFonts w:ascii="Arial" w:hAnsi="Arial" w:eastAsia="黑体"/>
          <w:b/>
          <w:sz w:val="22"/>
        </w:rPr>
        <w:t>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 2.65] on the 0–5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Judging was run through Claude Code Agent sub-agents, with temperature and max_tokens not set explicitly; one rating was produced per document.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the same prompt, rubric, and 0–5 scale as Tier 2a; its judging parameters were temperature = 0 and max_completion_tokens = 2,000, which differ from those of Tier 2a (see §4.5, Limitation xv).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2,000-token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160" w:after="40" w:lineRule="auto" w:line="300"/>
        <w:jc w:val="left"/>
      </w:pPr>
      <w:r>
        <w:rPr>
          <w:rFonts w:ascii="Arial" w:hAnsi="Arial" w:eastAsia="黑体"/>
          <w:b/>
          <w:sz w:val="22"/>
        </w:rPr>
        <w:t>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160" w:after="40" w:lineRule="auto" w:line="300"/>
        <w:jc w:val="left"/>
      </w:pPr>
      <w:r>
        <w:rPr>
          <w:rFonts w:ascii="Arial" w:hAnsi="Arial" w:eastAsia="黑体"/>
          <w:b/>
          <w:sz w:val="22"/>
        </w:rPr>
        <w:t>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160" w:after="40" w:lineRule="auto" w:line="300"/>
        <w:jc w:val="left"/>
      </w:pPr>
      <w:r>
        <w:rPr>
          <w:rFonts w:ascii="Arial" w:hAnsi="Arial" w:eastAsia="黑体"/>
          <w:b/>
          <w:sz w:val="22"/>
        </w:rPr>
        <w:t>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160" w:after="40" w:lineRule="auto" w:line="300"/>
        <w:jc w:val="left"/>
      </w:pPr>
      <w:r>
        <w:rPr>
          <w:rFonts w:ascii="Arial" w:hAnsi="Arial" w:eastAsia="黑体"/>
          <w:b/>
          <w:sz w:val="22"/>
        </w:rPr>
        <w:t>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160" w:after="40" w:lineRule="auto" w:line="300"/>
        <w:jc w:val="left"/>
      </w:pPr>
      <w:r>
        <w:rPr>
          <w:rFonts w:ascii="Arial" w:hAnsi="Arial" w:eastAsia="黑体"/>
          <w:b/>
          <w:sz w:val="22"/>
        </w:rPr>
        <w:t>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160" w:after="40" w:lineRule="auto" w:line="300"/>
        <w:jc w:val="left"/>
      </w:pPr>
      <w:r>
        <w:rPr>
          <w:rFonts w:ascii="Arial" w:hAnsi="Arial" w:eastAsia="黑体"/>
          <w:b/>
          <w:sz w:val="22"/>
        </w:rPr>
        <w:t>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0903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0903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All 10 sampled documents were Class A procedure documents (§2.3.3); cross-class generalisation to Class B (system operation) and Class C (audit simulation) tasks requires separate validation. Multi-centre validation with three to five raters scoring 30–50 documents per institution—including matched GPT-generated samples and Class B/C tasks—is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 and parameter mismatch between the two models.</w:t>
      </w:r>
      <w:r>
        <w:rPr>
          <w:rFonts w:ascii="Times New Roman" w:hAnsi="Times New Roman" w:eastAsia="宋体"/>
          <w:b w:val="0"/>
          <w:sz w:val="22"/>
        </w:rPr>
        <w:t xml:space="preserve"> The two models were not run with identical generation parameters: GPT-5.4 used temperature = 0.7 and max_completion_tokens = 16,000, whereas Claude was run through the Claude Code Agent with neither parameter set explicitly. The judging side was likewise asymmetric: the GPT-as-judge used temperature = 0 and max_completion_tokens = 2,000, while the Claude-as-judge ran as an Agent sub-agent with parameters not set explicitly. The cross-model comparison and the self-preference decomposition are therefore confounded by this parameter mismatch. The direction of the confound is conservative: GPT-5.4 received both a lower temperature and a larger output budget—settings that should favour instruction-following and compliance—yet still degraded sharply under C_full. Sampling was non-deterministic for both models (mitigated by three replicates per cell), so strict bit-level reproducibility was not achieved; future studies seeking deterministic comparison should re-run both models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[10.5281/zenodo.20091464](https://doi.org/10.5281/zenodo.20091464)).</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San Francisco (CA): Anthropic; 2025. Available at: https://www.anthropic.com/claude. [Accessed 9 May 2026].</w:t>
      </w:r>
    </w:p>
    <w:p>
      <w:pPr>
        <w:spacing w:before="80" w:after="80" w:lineRule="auto" w:line="360"/>
        <w:ind w:firstLine="0"/>
        <w:jc w:val="both"/>
      </w:pPr>
      <w:r>
        <w:rPr>
          <w:rFonts w:ascii="Times New Roman" w:hAnsi="Times New Roman" w:eastAsia="宋体"/>
          <w:b w:val="0"/>
          <w:sz w:val="22"/>
        </w:rPr>
        <w:t>2.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the 62nd Annual Meeting of the Association for Computational Linguistics (ACL 2024); 2024 Aug 11–16; Bangkok, Thailand. Stroudsburg (PA): Association for Computational Linguistics;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