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生成医学实验室 QMS 文件的 ISO 15189 合规性：Claude Opus 4.6 vs. GPT-5.4 跨 prompt 配置评估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 LLM 生成 QMS 文件在不同 prompt 配置下的 ISO 15189:2022 合规性，并刻画 LLM-as-judge 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：我们使用 Claude Opus 4.6（9 配置 × 15 任务 × 3 重复 = 405）与 GPT-5.4（81 份用于跨模型验证）共生成 486 份 QMS 文件，涵盖 4 个 prompt 内容维度（规则、文档骨架、详细内容、worked examples；0–56,000 tokens）。合规性按 0–5 Likert 量纲在三层框架下评分：自动化规则式评分器；双 LLM-as-judge 评审（864 条评分）；以及 3 位 ISO 15189 资格内审员对 10 份分层抽样文件的盲法评审。消融效应采用 Mann–Whitney U 检验配合 BH 校正与 bootstrap 95% CI；评审员一致性采用 ICC 变体。</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p&lt;0.001）。C_full（~56,000 tokens）在 Claude 下评分 3.22–4.56，在 GPT-5.4 下仅 1.40–1.84。两位 LLM 评审均将 Claude 生成输出评得比 GPT 生成高约 0.30 分（Panickssery：Claude +0.29，GPT −0.30），集中表现于 C_full 且与经典自偏好不兼容。专家间一致性极佳 [ICC(2,k)=0.982]；Claude 评审与专家一致性中等 [ICC(3,1)=0.548]，GPT 评审较差 [ICC(3,1)=0.217]；两位 LLM 评审均把专家评分高估 0.52–0.90 分。LLM 偏好的 H4_sop_only（~2,000 tokens）在专家评估下跌至 7 配置中的第 5 名（3.20），而模板锚定的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prompt（~1,000–2,000 tokens）适用于探索性草稿；模板锚定 prompt（~15,000–16,000 tokens）对认可级文件属必需；C_full（~56,000 tokens）在 GPT-5.4 下避免使用。LLM-as-judge 可作首道筛选；专家终审仍属必需。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基于规则、文档骨架、详细内容、worked examples 四个 prompt 内容维度的系统替换，按各维度操作定义的水平变化（规则与文档骨架为三水平：缺失 / 部分 / 完整；详细内容与 worked examples 为二水平：缺失 / 存在），设计 9 组 prompt 配置（Figure 1）。两组极简配置作为基线：A_bare（0 tokens；无 system prompt）与 B_simple（~300 tokens；含语言、文件结构、标准引用、术语、表达风格与编号 6 条编号约束的简短任务指令——编码为规则维度的 partial 水平）。C_full（~56,000 tokens）代表全量上下文输入策略，由实验室简介与全部 SOP 串接组成单一上下文块；由于未单独提供独立的强制性规则块，C_full 同样编码为规则维度的 partial 水平。E_rules_v2（~1,200 tokens）仅含规则成分；F_template（~15,000 tokens）为无规则的完整文档模板；G_template_rules（~16,000 tokens）为规则与模板的组合；H2_keep_examples（~25,000 tokens）在 G_template_rules 基础上扩展 worked examples；H3_skeleton（~5,000 tokens）保留模块骨架但删除详细内容；H4_sop_only（~2,000 tokens）仅保留与请求任务最相关的单个 SOP 骨架。字母 D 在编号序列中被有意跳过：早期 D_rules 变体经专家验证发现术语错误后被弃用，由 E_rules_v2 替代；保留字母跳号以保持配置标识符的时间一致性。</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val="0"/>
          <w:sz w:val="22"/>
        </w:rPr>
        <w:t>规则成分基于经过整理的 rules.md 文件（~1,200 tokens），并经领域专家校验精修。删除 3 条错误术语映射（仪器 → 设备；校准品 → 校准物；室间质评 → 能力验证），修正 3 条目标术语（标本 → 样品；检验项目 → 检测项目；线性范围 → 可报告范围）；箭头表示「非首选 → ISO 15189 首选」方向。最终规则集保留 10 条经验证的术语映射与 7 类被禁的模糊表述。文档骨架由自定义 *strip_to_skeleton* 算法从机构模板库中提取，保留章节标题、各章节首段说明与表单编号方案，删除条款原文摘录、详细表格内容、worked examples、step-by-step 程序与 fenced code blocks（markdown ... 构造，含流程图、JSON 片段或伪代码）。</w:t>
      </w:r>
    </w:p>
    <w:p>
      <w:pPr>
        <w:spacing w:before="80" w:after="80" w:lineRule="auto" w:line="360"/>
        <w:ind w:firstLine="0"/>
        <w:jc w:val="both"/>
      </w:pPr>
      <w:r>
        <w:rPr>
          <w:rFonts w:ascii="Times New Roman" w:hAnsi="Times New Roman" w:eastAsia="宋体"/>
          <w:b w:val="0"/>
          <w:sz w:val="22"/>
        </w:rPr>
        <w:t>本研究所有报告的 token 数均使用 cl100k_base tokenizer（OpenAI tiktoken 库）计算；在中英混合医学文本上，该 tokenizer 与 Anthropic 原生 tokenizer 通常相差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配置，但生成参数并不相同：Claude Opus 4.6 经 Claude Code Agent 运行，该框架不暴露 temperature 与 max_tokens，本研究未显式设定，其取值由框架决定；GPT-5.4 经 API 显式设定 temperature = 0.7、max_completion_tokens = 16,000。两者的采样均为非确定性；为捕捉由此引入的随机性方差，每元胞设 3 次独立重复。生成参数不一致对跨模型比较的影响详见 §4.5 局限性 xv。所有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1 定义的描述性五维度量规。</w:t>
      </w:r>
    </w:p>
    <w:p>
      <w:pPr>
        <w:spacing w:before="160" w:after="40" w:lineRule="auto" w:line="300"/>
        <w:jc w:val="left"/>
      </w:pPr>
      <w:r>
        <w:rPr>
          <w:rFonts w:ascii="Arial" w:hAnsi="Arial" w:eastAsia="黑体"/>
          <w:b/>
          <w:sz w:val="22"/>
        </w:rPr>
        <w:t>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0–5 评分尺度下的理论范围为 [0,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160" w:after="40" w:lineRule="auto" w:line="300"/>
        <w:jc w:val="left"/>
      </w:pPr>
      <w:r>
        <w:rPr>
          <w:rFonts w:ascii="Arial" w:hAnsi="Arial" w:eastAsia="黑体"/>
          <w:b/>
          <w:sz w:val="22"/>
        </w:rPr>
        <w:t>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1）以 0–5 分评分。评判经 Claude Code 的 Agent 子代理运行，未显式设定 temperature 与 max_tokens；每份文件得到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相同的 prompt、量规与 0–5 分评分尺度；其评判参数为 temperature = 0、max_completion_tokens = 2,000，与 Tier 2a 并不相同（详见 §4.5 局限性 xv）。全部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2,000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1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160" w:after="40" w:lineRule="auto" w:line="300"/>
        <w:jc w:val="left"/>
      </w:pPr>
      <w:r>
        <w:rPr>
          <w:rFonts w:ascii="Arial" w:hAnsi="Arial" w:eastAsia="黑体"/>
          <w:b/>
          <w:sz w:val="22"/>
        </w:rPr>
        <w:t>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1）。Rater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1）与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160" w:after="40" w:lineRule="auto" w:line="300"/>
        <w:jc w:val="left"/>
      </w:pPr>
      <w:r>
        <w:rPr>
          <w:rFonts w:ascii="Arial" w:hAnsi="Arial" w:eastAsia="黑体"/>
          <w:b/>
          <w:sz w:val="22"/>
        </w:rPr>
        <w:t>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160" w:after="40" w:lineRule="auto" w:line="300"/>
        <w:jc w:val="left"/>
      </w:pPr>
      <w:r>
        <w:rPr>
          <w:rFonts w:ascii="Arial" w:hAnsi="Arial" w:eastAsia="黑体"/>
          <w:b/>
          <w:sz w:val="22"/>
        </w:rPr>
        <w:t>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160" w:after="40" w:lineRule="auto" w:line="300"/>
        <w:jc w:val="left"/>
      </w:pPr>
      <w:r>
        <w:rPr>
          <w:rFonts w:ascii="Arial" w:hAnsi="Arial" w:eastAsia="黑体"/>
          <w:b/>
          <w:sz w:val="22"/>
        </w:rPr>
        <w:t>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160" w:after="40" w:lineRule="auto" w:line="300"/>
        <w:jc w:val="left"/>
      </w:pPr>
      <w:r>
        <w:rPr>
          <w:rFonts w:ascii="Arial" w:hAnsi="Arial" w:eastAsia="黑体"/>
          <w:b/>
          <w:sz w:val="22"/>
        </w:rPr>
        <w:t>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160" w:after="40" w:lineRule="auto" w:line="300"/>
        <w:jc w:val="left"/>
      </w:pPr>
      <w:r>
        <w:rPr>
          <w:rFonts w:ascii="Arial" w:hAnsi="Arial" w:eastAsia="黑体"/>
          <w:b/>
          <w:sz w:val="22"/>
        </w:rPr>
        <w:t>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tokens；0.000）。H4_sop_only 仅以 ~2,000 tokens 获得最高综合分——远低于模板锚定配置（G_template_rules ~16,000；H2_keep_examples ~25,000）与全量 C_full（~56,000）；但如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对称设计——Claude 生成 × Claude 评审、Claude 生成 × GPT 评审、GPT 生成 × Claude 评审、GPT 生成 × GPT 评审——评估于 9 组配置 × 3 个代表任务（A1、B1、C1）× 每单元 3 次重复。全量上下文配置 C_full（~56,000 tokens）在 GPT-5.4 生成条件下合规分出现显著下降：GPT-gen × Claude-judge 均值为 1.40，GPT-gen × GPT-judge 均值为 1.84（0–5 Likert 量纲），而同一 C_full 配置在 Claude Opus 4.6 生成条件下两位判官的跨评估均值落在 3.22–4.56 区间。该模式表明 ~56,000-token 全量上下文配置的表观可用性局限于 Claude Opus 4.6，在本研究测试的参数下无法推广至 GPT-5.4。作者对 GPT 生成的 C_full 输出进行了定性检视，识别出三类反复出现的失败模式：（i）指令遵循衰退，即 system prompt 早期声明的约束在输出后段不再得到体现；（ii）结构错乱，表现为章节顺序不一致、必需标题缺失或编号错误；以及（iii）条款引用混淆，包括使用错误、不匹配或捏造的 ISO 15189:2022 条款编号。在相应的 Claude Opus 4.6 输出中未观察到这些失败模式。</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分，尽管自评偏差指标的符号在表面上相反。将 C_full 作为主要离群点排除后，Claude 评审均值偏差衰减至 −0.064（9 配置中位数：+0.200），GPT 评审均值偏差衰减至 −0.167（中位数：−0.311），表明上述 Panickssery 指数主要由 C_full 拖动，其长上下文失败模式（§3.3）在该处放大了跨判官分歧。</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1）在评分员间高度可重复；然而由于三位评分员均来自同一单位，所观察到的可靠性可能高估跨单位一致性（见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~15,000–25,000-token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00" w:after="80" w:lineRule="auto" w:line="240"/>
        <w:jc w:val="center"/>
      </w:pPr>
      <w:r>
        <w:drawing>
          <wp:inline xmlns:a="http://schemas.openxmlformats.org/drawingml/2006/main" xmlns:pic="http://schemas.openxmlformats.org/drawingml/2006/picture">
            <wp:extent cx="5040000" cy="300903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0903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−0.30；§3.4）。然而如 §3.4 所述，该总体均值受 C_full 配置强力杠杆影响：排除 C_full 后，Claude 评审均值偏差衰减至 −0.064，GPT 评审均值偏差衰减至 −0.167，表明跨判官方向性模式集中于长上下文配置，而非 LLM-as-judge 框架的均匀属性。该符号相反的模式与"同家族经典自偏好"不兼容——后者应表现为两位判官均为同号正值——故可由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2）。</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2。这些推荐反映了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之间的歧义，无法在本研究样本内判别。此外，§3.4 报告的跨判官偏差估计受 C_full 配置强力杠杆影响（C_full 贡献了 Claude 评审均值的最大单组值 +3.156 与 GPT 评审均值的最大负值 −1.378）；后续重复研究应分别报告各配置的偏差分布，以区分长上下文特异性效应与配置无关的判官偏好。所抽样的 10 份文件全部为 A 类程序文件（§2.3.3）；推广至 B 类（体系运行）与 C 类（审核模拟）任务需另行验证。跨单位 3 至 5 位评分员 × 30 至 50 份文件 / 单位（且包含匹配的 GPT 生成样本与 B/C 类任务）的多中心验证，是关键的未来工作。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温度设置与两模型参数不一致。</w:t>
      </w:r>
      <w:r>
        <w:rPr>
          <w:rFonts w:ascii="Times New Roman" w:hAnsi="Times New Roman" w:eastAsia="宋体"/>
          <w:b w:val="0"/>
          <w:sz w:val="22"/>
        </w:rPr>
        <w:t xml:space="preserve"> 两模型的生成参数并不相同：GPT-5.4 使用 temperature = 0.7、max_completion_tokens = 16,000，而 Claude 经 Claude Code Agent 运行、未显式设定这两个参数；评判侧同样不对称，GPT-as-judge 使用 temperature = 0、max_completion_tokens = 2,000，Claude-as-judge 则由 Agent 子代理运行、参数未显式设定。因此跨模型比较与自评偏差分解均存在参数不一致的混杂。该混杂的方向是保守的：GPT-5.4 拿到的是更低的温度与更大的输出预算，两者都更有利于指令遵循与合规，而它在 C_full 下仍然大幅下滑。两模型的生成均为非确定性采样（已通过每元胞 3 次重复缓解），未实现严格的字面级可重复性；追求确定性比较的后续研究建议对两模型统一改用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归档（DOI：[10.5281/zenodo.20091464](https://doi.org/10.5281/zenodo.20091464)）。</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San Francisco (CA): Anthropic; 2025. Available at: https://www.anthropic.com/claude. [Accessed 9 May 2026].</w:t>
      </w:r>
    </w:p>
    <w:p>
      <w:pPr>
        <w:spacing w:before="80" w:after="80" w:lineRule="auto" w:line="360"/>
        <w:ind w:firstLine="0"/>
        <w:jc w:val="both"/>
      </w:pPr>
      <w:r>
        <w:rPr>
          <w:rFonts w:ascii="Times New Roman" w:hAnsi="Times New Roman" w:eastAsia="宋体"/>
          <w:b w:val="0"/>
          <w:sz w:val="22"/>
        </w:rPr>
        <w:t>2.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the 62nd Annual Meeting of the Association for Computational Linguistics (ACL 2024); 2024 Aug 11–16; Bangkok, Thailand. Stroudsburg (PA): Association for Computational Linguistics;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2）</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