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prompt-content dimensions (rules, skeleton, detailed content, and examples; rules and skeleton at three levels, detailed content and examples binary) 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Four-component substitution-contrast ablation (Benjamini–Hochberg FDR-adjusted; bootstrap 95% CI, B = 10,000) showed that, at the LLM-judge tier, only the rules component reached significance (Δ = +0.511, 95% CI [+0.28, +0.75]; BH-adjusted p &lt; 0.001); the skeleton component (Δ = +0.213, 95% CI [+0.05, +0.39]; BH-adjusted p = 0.11), detailed content (Δ = −0.031, 95% CI [−0.19, +0.12]; BH-adjusted p = 0.79), and examples (Δ = −0.053, 95% CI [−0.21, +0.11]; BH-adjusted p = 0.61) did not. (2) The full-context configuration C_full (56 K) yielded cross-evaluated scores of 3.22–4.56 under Claude generation but dropped to 1.40–1.84 under GPT-5.4 generation, indicating that long-context exploitation in this scenario is model-specific to Claude Opus. (3) Both LLM judges rated Claude-generated outputs approximately 0.30 points higher than GPT-generated outputs (Panickssery classical bias estimates: Claude-judge +0.29, GPT-judge −0.30), a pattern incompatible with classical same-family self-preference and consistent with either a genuine quality difference between the two generation models or shared judge stylistic preferences.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(~2,000 tokens), fell to fifth of seven configurations under expert evaluation (3.20, n = 2; only 0.16 points above the no-prompt baseline A_bare), whereas template-based configurations F_template (~15,000 tokens), H2_keep_examples (~25,000 tokens), and G_template_rules (~16,000 tokens)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may adopt H4_sop_only (~2,000 tokens) or E_rules_v2 (~1,200 tokens) for non-final, exploratory drafts subject to expert review before any clinical-deployment use; scenarios involving formal submission and CNAS accreditation application should adopt G_template_rules (~16,000 tokens) or F_template (~15,000 tokens). C_full (~56,000 tokens)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fixed weights defined in the WEIGHTS dictionary of auto_scorer.py: format = 0.18, clause coverage = 0.22, terminology = 0.13 (sum 0.53). The dictionary additionally contains four entries from an originally planned 7-dimension scheme — logical consistency = 0.18, operability = 0.10, safety compliance = 0.09, and manual-revision burden = 0.10 (sum 0.47) — that were not implemented in the current scorer; these four dimensions are filled with a neutral default of 3.0 for every document, contributing a constant offset of 0.47 × 3.0 = 1.41 to every auto_weighted value. The weights sum to 1.00, so the theoretical range of auto_weighted is [1.41, 4.06]. Because the same constant offset applies to every document, it cancels in all between-configuration comparisons and therefore does not affect the relative ranking reported in §3.</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who holds prior ISO 15189 accreditation-assessment experience;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with the smallest token budget among configurations that included rules — a finding that, as reported in §3.5,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instruction-following degradation, structural breakdown, and clause-citation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2)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15–25-K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0.30 points higher than GPT-generated outputs on the 0–5 Likert scale (Panickssery classical estimates: +0.29 for the Claude judge and −0.30 for the GPT judge; §3.4).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6).</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6.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Multi-centre validation with three to five raters scoring 30–50 documents per institution—including matched GPT-generated samples—is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(~2,000 tokens) achieves the highest composite score; under expert evaluation, F_template (~15,000 tokens), H2_keep_examples (~25,000 tokens), and G_template_rules (~16,000 tokens) tie at the top (mean 4.06–4.24), whereas H4 falls to fifth of seven configurations (only 0.16 points above the no-prompt baseline). Scenarios prioritizing token efficiency and cost control may adopt H4 or E_rules_v2 (1–2 K) for exploratory drafts subject to subsequent expert review; scenarios requiring formal submission and CNAS accreditation application should adopt G or F (15–16 K); C_full (~56,000 tokens)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plotted for the n = 10 expert-blinded subset (seven configurations; per-stratum n = 1 or 2). Horizontal axis: token count on a symlog scale (cl100k_base). All three curves use the same matched samples: solid green line (squares), three-rater expert mean; solid red line (circles), Claude Opus 4.6 judge × Claude-generated outputs; solid blue line (triangles), GPT-5.4 judge × Claude-generated outputs. Orange-shaded band: token-efficient optimum identified by the LLM-judge tier (H4_sop_only / H3_skeleton). Green-shaded band: expert-judged clinical-usability optimum (F_template / G_template_rules). Error bars omitted because per-stratum n = 1–2; a Bland–Altman-style scatter is shown in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