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QMS 文件生成的"最优配置"取决于评估视角。追求 token 效率与成本控制的场景可采用 H4_sop_only（~2,000 tokens）或 E_rules_v2（~1,200 tokens）作为非终稿、探索性草稿，使用前必须经专家审阅方可用于临床部署；正式送审与 CNAS 认可申请场景应采用 G_template_rules（~16,000 tokens）或 F_template（~15,000 tokens）。C_full（~56,000 tokens）在现阶段 GPT 类模型长上下文能力不稳定的情况下应避免使用。LLM 评审可作为初筛工具，但不可替代专家终审；Claude 评审与专家排序呈中等一致性，可作为粗筛代理，GPT 评审则不适合此用途。</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文件生成的最优配置取决于评估视角。LLM 评估层下 H4_sop_only（~2,000 tokens）综合最优；专家视角下 F_template（~15,000 tokens）、H2_keep_examples（~25,000 tokens）与 G_template_rules（~16,000 tokens）并列最优（均值 4.06–4.24 分），而 H4 跌至第 5/7 名（仅高于空 prompt 基线 0.16 分）。追求 token 效率与成本控制的场景可采用 H4 或 E_rules_v2（1–2 K）作为探索性草稿，使用前需经专家审阅；正式送审与 CNAS 认可申请场景应采用 G 或 F（15–16 K）；C_full（~56,000 tokens）应避免使用。LLM 评审可作为初筛代理（Claude 评审效果优于 GPT），但关键文件必须经专家终审。</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规模的关系，基于 n=10 专家盲评子集（7 个配置；每层 n=1 或 2）。横轴为 token 数，symlog 刻度（cl100k_base）。三条曲线使用同一组匹配样本：绿色实线（方块）为 3 位专家均值；红色实线（圆点）为 Claude Opus 4.6 评审 × Claude 生成输出；蓝色实线（三角）为 GPT-5.4 评审 × Claude 生成输出。橙色阴影区为 LLM 评审层识别的 token 效率最优区（H4_sop_only / H3_skeleton），绿色阴影区为专家判断的临床可用性最优区（F_template / G_template_rules）。因每层 n=1–2，未绘制误差棒；Bland–Altman 风格散点见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