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systematic substitution along four prompt-content dimensions (rules, skeleton, detailed content, and examples; rules and skeleton at three levels, detailed content and examples binary) with token sizes ranging from 0 to 56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Four-component substitution-contrast ablation (Benjamini–Hochberg FDR-adjusted; bootstrap 95% CI, B = 10,000) showed that, at the LLM-judge tier, only the rules component reached significance (Δ = +0.511, 95% CI [+0.28, +0.75]; BH-adjusted p &lt; 0.001); the skeleton component (Δ = +0.213, 95% CI [+0.05, +0.39]; BH-adjusted p = 0.11), detailed content (Δ = −0.031, 95% CI [−0.19, +0.12]; BH-adjusted p = 0.79), and examples (Δ = −0.053, 95% CI [−0.21, +0.11]; BH-adjusted p = 0.61) did not. (2) The full-context configuration C_full (56 K) yielded cross-evaluated scores of 3.22–4.56 under Claude generation but dropped to 1.40–1.84 under GPT-5.4 generation, indicating that long-context exploitation in this scenario is model-specific to Claude Opus. (3) Both LLM judges rated Claude-generated outputs approximately 0.30 points higher than GPT-generated outputs (Panickssery classical bias estimates: Claude-judge +0.29, GPT-judge −0.30), a pattern incompatible with classical same-family self-preference and consistent with either a genuine quality difference between the two generation models or shared judge stylistic preferences.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(2 K skeleton), ranked second-to-last under expert evaluation (3.20, n = 2), whereas template-based configurations F_template (15 K), H2_keep_examples (25 K), and G_template_rules (16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(2 K) or E_rules_v2 (3 K); scenarios involving formal submission and CNAS accreditation application should adopt G_template_rules (16 K) or F_template (15 K). C_full (56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 xml:space="preserve">ISO 15189:2022 *Medical laboratories — Requirements for quality and competence* is the international standard for medical laboratory accreditation, and adoption by Chinese medical laboratories has continued to expand under the China National Accreditation Service for Conformity Assessment (CNAS) framework [14]. CNAS-CL02:2023, the corresponding implementation document, was released in parallel. Such standards prescribe what laboratories *should do* but not *how to do it*, requiring each laboratory to construct, on its own, a complete </w:t>
      </w:r>
      <w:r>
        <w:rPr>
          <w:rFonts w:ascii="Times New Roman" w:hAnsi="Times New Roman" w:eastAsia="宋体"/>
          <w:b/>
          <w:sz w:val="22"/>
        </w:rPr>
        <w:t>quality management system (QMS) documentation</w:t>
      </w:r>
      <w:r>
        <w:rPr>
          <w:rFonts w:ascii="Times New Roman" w:hAnsi="Times New Roman" w:eastAsia="宋体"/>
          <w:b w:val="0"/>
          <w:sz w:val="22"/>
        </w:rPr>
        <w:t xml:space="preserve"> covering the quality manual, procedure documents, and standard operating instructions. Based on the corresponding author's experience as an ISO 15189 assessor, such a system in a typical tertiary-level hospital clinical laboratory contains on the order of 100–300 controlled documents and spans structural organisation, clause mapping, form numbering, and responsibility assignment; manual drafting by the quality team typically takes several months, followed by several rounds of internal audit before the system can be finalised. Laboratories pursuing CNAS accreditation generally engage technical experts or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demonstrated competence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surveys of LLM behaviour and prompting [4, 12] have focused on general-purpose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prompt-content dimensions, varied across operationally relevant levels (three levels [absent / partial / full] for rules and document skeleton; binary [absent / present] for detailed content and worked examples): rules, skeleton, detailed content, and examples (Figure 1). Among them, A_bare (0 K) and B_simple (0.3 K) served as baselines; C_full (56 K) represented the full-context input strategy; E_rules_v2 (1.2 K) contained only the rules component;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val="0"/>
          <w:sz w:val="22"/>
        </w:rPr>
        <w:t>The rules component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component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2.</w:t>
      </w:r>
    </w:p>
    <w:p>
      <w:pPr>
        <w:spacing w:before="80" w:after="80" w:lineRule="auto" w:line="360"/>
        <w:ind w:firstLine="0"/>
        <w:jc w:val="both"/>
      </w:pPr>
      <w:r>
        <w:rPr>
          <w:rFonts w:ascii="Times New Roman" w:hAnsi="Times New Roman" w:eastAsia="宋体"/>
          <w:b w:val="0"/>
          <w:sz w:val="22"/>
        </w:rPr>
        <w:t>#### 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fixed weights defined in the WEIGHTS dictionary of auto_scorer.py: format = 0.18, clause coverage = 0.22, terminology = 0.13 (sum 0.53). The dictionary additionally contains four entries from an originally planned 7-dimension scheme — logical consistency = 0.18, operability = 0.10, safety compliance = 0.09, and manual-revision burden = 0.10 (sum 0.47) — that were not implemented in the current scorer; these four dimensions are filled with a neutral default of 3.0 for every document, contributing a constant offset of 0.47 × 3.0 = 1.41 to every auto_weighted value. The weights sum to 1.00, so the theoretical range of auto_weighted is [1.41, 4.06]. Because the same constant offset applies to every document, it cancels in all between-configuration comparisons and therefore does not affect the relative ranking reported in §3.</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2)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2);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80" w:after="80" w:lineRule="auto" w:line="360"/>
        <w:ind w:firstLine="0"/>
        <w:jc w:val="both"/>
      </w:pPr>
      <w:r>
        <w:rPr>
          <w:rFonts w:ascii="Times New Roman" w:hAnsi="Times New Roman" w:eastAsia="宋体"/>
          <w:b w:val="0"/>
          <w:sz w:val="22"/>
        </w:rPr>
        <w:t>#### 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2) as the LLM judges. Rater 1 was the first author, who holds prior ISO 15189 accreditation-assessment experience;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core configurations × Class A procedure-document tasks (A1, A2, A3) — yielding a 21-stratum frame.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2)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 Bootstrap 95% confidence intervals for each Δ effect estimate were computed using the nonparametric percentile method with B = 10,000 resamples and a fixed seed (42), drawing each group's resamples independently with replacement (numpy random.choice); the lower and upper interval limits were taken as the 2.5th and 97.5th percentiles of the resampled Δ distribution. The bootstrap reference implementation is provided in bootstrap_ci.py of the released code repository.</w:t>
      </w:r>
    </w:p>
    <w:p>
      <w:pPr>
        <w:spacing w:before="80" w:after="80" w:lineRule="auto" w:line="360"/>
        <w:ind w:firstLine="0"/>
        <w:jc w:val="both"/>
      </w:pPr>
      <w:r>
        <w:rPr>
          <w:rFonts w:ascii="Times New Roman" w:hAnsi="Times New Roman" w:eastAsia="宋体"/>
          <w:b w:val="0"/>
          <w:sz w:val="22"/>
        </w:rPr>
        <w:t>#### 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80" w:after="80" w:lineRule="auto" w:line="360"/>
        <w:ind w:firstLine="0"/>
        <w:jc w:val="both"/>
      </w:pPr>
      <w:r>
        <w:rPr>
          <w:rFonts w:ascii="Times New Roman" w:hAnsi="Times New Roman" w:eastAsia="宋体"/>
          <w:b w:val="0"/>
          <w:sz w:val="22"/>
        </w:rPr>
        <w:t>#### 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80" w:after="80" w:lineRule="auto" w:line="360"/>
        <w:ind w:firstLine="0"/>
        <w:jc w:val="both"/>
      </w:pPr>
      <w:r>
        <w:rPr>
          <w:rFonts w:ascii="Times New Roman" w:hAnsi="Times New Roman" w:eastAsia="宋体"/>
          <w:b w:val="0"/>
          <w:sz w:val="22"/>
        </w:rPr>
        <w:t>#### 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+0.464 (Claude) and −0.472 (GPT), preserving the sign and direction of the classical estimates (+0.294 and −0.301) reported in §3.4.</w:t>
      </w:r>
    </w:p>
    <w:p>
      <w:pPr>
        <w:spacing w:before="80" w:after="80" w:lineRule="auto" w:line="360"/>
        <w:ind w:firstLine="0"/>
        <w:jc w:val="both"/>
      </w:pPr>
      <w:r>
        <w:rPr>
          <w:rFonts w:ascii="Times New Roman" w:hAnsi="Times New Roman" w:eastAsia="宋体"/>
          <w:b w:val="0"/>
          <w:sz w:val="22"/>
        </w:rPr>
        <w:t>#### 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Across the 405 Claude Opus 4.6–generated documents, the nine configurations were ranked using a composite score that combined the Tier 1 automated scorer mean and the Tier 2 LLM-judge mean (averaged across the Claude and GPT judges); each component was min-max normalised to [0, 1] across the nine configurations and then averaged with equal weight. From highest to lowest composite score, the ranking was: H4_sop_only (~2,000 tokens; 0.994), H3_skeleton (~5,000 tokens; 0.869), G_template_rules (~16,000 tokens; 0.851), H2_keep_examples (~25,000 tokens; 0.759), E_rules_v2 (~1,200 tokens; 0.729), C_full (~56,000 tokens; 0.493), F_template (~15,000 tokens; 0.345), B_simple (~300 tokens; 0.227), and A_bare (0 tokens; 0.000). H4_sop_only therefore achieved the highest composite score with the smallest token budget among configurations that included rules — a finding that, as reported in §3.5, did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p-values, Benjamini–Hochberg–adjusted p-values, and 95% bootstrap confidence intervals (B = 10,000 resamples; seed = 42). The rules component was the only factor reaching significance after correction (Δ = +0.511; 95% CI [+0.28, +0.75]; raw p &lt; 0.001; BH-adjusted p &lt; 0.001). The document-skeleton component (Δ = +0.213; 95% CI [+0.05, +0.39]; raw p = 0.055; BH-adjusted p = 0.11) showed a directionally positive effect; although the bootstrap CI excludes zero, the BH-adjusted p does not reach the 0.05 threshold. This discrepancy reflects that the CI was computed on the simple mean difference whereas inference used the rank-based Mann–Whitney U test; we therefore interpret the skeleton effect as suggestive evidence requiring independent replication. Detailed content (G_template_rules vs H3_skeleton: Δ = −0.031; 95% CI [−0.19, +0.12]; raw p = 0.79; BH-adjusted p = 0.79) and worked examples (H2_keep_examples vs G_template_rules: Δ = −0.053; 95% CI [−0.21, +0.11]; raw p = 0.46; BH-adjusted p = 0.61) showed no detectable contribution. As a descriptive supplementary contrast outside the four-component BH set, H4_sop_only and H3_skeleton did not differ (Δ = −0.009; raw p = 0.80; reported uncorrected), suggesting that, at the LLM-judge tier, the task-specific SOP skeleton (~2,000 tokens) and the full module skeleton (~5,000 tokens) are functionally equivalent. The ablation results reported in this section pertain to the LLM-judge tier (specifically the Tier 2b GPT-judge ratings, per §2.4.1); the corresponding expert-tier comparisons are presented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56 K full-context configuration under Claude Opus is model-specific rather than a general result. GPT-5.4 under the 56 K configuration exhibited failure modes including instruction forgetting, structural breakdown, and clause confusion.</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using the Panickssery classical formula defined in §2.4.4 (bias_M = mean(judge = M, generator = M) − mean(judge = M, generator = M′)), the mean bias of the Claude judge across the nine configurations was +0.294 on the 0–5 Likert scale (positive in 6 of 9 configurations; the largest single-configuration value, +3.156, occurred at C_full). The mean bias of the GPT judge was −0.301 (negative in 6 of 9 configurations, with positive values at A_bare and B_simple and zero at F_template). The two judges therefore agreed in direction: across configurations, both effectively rated Claude-generated outputs approximately 0.30 points higher than GPT-generated outputs, despite using nominally opposite-signed self-preference indices.</w:t>
      </w:r>
    </w:p>
    <w:p>
      <w:pPr>
        <w:spacing w:before="80" w:after="80" w:lineRule="auto" w:line="360"/>
        <w:ind w:firstLine="0"/>
        <w:jc w:val="both"/>
      </w:pPr>
      <w:r>
        <w:rPr>
          <w:rFonts w:ascii="Times New Roman" w:hAnsi="Times New Roman" w:eastAsia="宋体"/>
          <w:b w:val="0"/>
          <w:sz w:val="22"/>
        </w:rPr>
        <w:t>By construction, this opposite-signed pattern is incompatible with the classical self-preference phenomenon, in which each judge would inflate ratings of its own family — a pattern that would produce same-signed positive biases for both judges. Instead, the observed pattern is compatible with two non-mutually-exclusive interpretations: (a) a genuine generation-level quality difference between Claude Opus 4.6 and GPT-5.4 under the parameters tested, consistent with the C_full failure modes documented in §3.3; and (b) systematic style or format preferences shared by both judges that favour the Claude-generated phrasing. Because the Tier 3 expert sample (n = 10) consisted entirely of Claude-generated documents (§2.3.3), the present study cannot empirically discriminate between these two interpretations; we identify this as a key direction for follow-up validation (§4.5, Limitation i).</w:t>
      </w:r>
    </w:p>
    <w:p>
      <w:pPr>
        <w:spacing w:before="80" w:after="80" w:lineRule="auto" w:line="360"/>
        <w:ind w:firstLine="0"/>
        <w:jc w:val="both"/>
      </w:pPr>
      <w:r>
        <w:rPr>
          <w:rFonts w:ascii="Times New Roman" w:hAnsi="Times New Roman" w:eastAsia="宋体"/>
          <w:b w:val="0"/>
          <w:sz w:val="22"/>
        </w:rPr>
        <w:t>To examine configuration ranking after removing same-judge self-evaluation, we re-ranked the nine configurations using only cross-model evaluations, retaining for each configuration the per-document Claude-judge → GPT-generated and GPT-judge → Claude-generated mean scores and averaging the two. Under this debiased ranking, the top four configurations on the 0–5 Likert scale were G_template_rules (4.211), H3_skeleton (4.167), E_rules_v2 (4.133), and H4_sop_only (4.100); their largest pairwise difference was Δ = 0.111, indicating that the four were statistically indistinguishable. C_full dropped from sixth in the §3.1 composite ranking to ninth (mean = 2.310), confirming that the high LLM-judge rating of C_full under Claude generation was substantially driven both by Claude-judge inflation of its family's output and by the inability of GPT-5.4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E_rules_v2 3.19 (n = 1) sixth, A_bare 3.04 (n = 1) seventh. The first-ranked configuration at the LLM-judge tier (H4_sop_only, 2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(2 K) and then descends, collapsing at C_full; the expert curve peaks at the F/G template region (15–16 K) at 4.24 but reaches only 3.20 at H4 (2 K). The three curves diverge most prominently in the 2–5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2–5 K while experts prefer 15–25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Four-component ablation at the LLM-judge tier yields a parsimonious conclusion: the rules component is necessary (BH-adjusted p &lt; 0.001), the skeleton component shows a directional benefit that did not reach significance after correction (BH-adjusted p = 0.11), while detailed content and examples contribute nothing.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(56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56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a cross-LLM directional pattern in which both judges rated Claude-generated outputs approximately 0.30 points higher than GPT-generated outputs (Panickssery classical estimates: Claude judge +0.29, GPT judge −0.30) — a pattern that is incompatible with classical same-family self-preference (§3.4) and is therefore attributable either to a real generation-quality gap or to shared judge stylistic preferences —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1–2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2–5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(56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all Claude-generated: n = 3 raters × 10 documents, with only 1 to 2 documents per configuration; the entire 10-document sample was drawn from the Claude-generation set, and no GPT-generated documents underwent expert review. This design supports only directional ranking conclusions for Claude generation, not strict statistical inference, and means that the §3.4 ambiguity between (a) a genuine generation-quality gap between Claude Opus 4.6 and GPT-5.4 and (b) shared judge stylistic preferences cannot be resolved within the present sample. Multi-center validation with 3–5 experts × 30–50 documents across institutions, including matched GPT-generated samples,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 (xii) No pre-scoring expert calibration: the three raters scored independently from the published five-dimensional rubric and the ISO 15189:2022 / CNAS-CL02:2023 standards without a prior calibration session in which a few example documents would be scored together to align interpretation. The very high inter-rater agreement [ICC(2,k) = 0.982] indicates that the rubric was sufficiently self-explanatory in this institutional context, but a formal calibration step would strengthen replication in future multi-centre studies. (xiii) Claude Code Agent wrapper: Claude Opus 4.6 generation and Claude-judge ratings were performed via Claude Code's Agent tool rather than through a direct Anthropic REST SDK call. The Claude Code framework adds a constant framework-level system prompt (tool definitions and file-system guidance) on top of each configured QMS-generation or judge prompt; the absolute prompt length seen by the model is therefore larger than the per-configuration token counts reported in §2.1. Because this framework overhead is identical across all 9 configurations and across all judging calls, between-configuration relative comparisons and the relative judge–expert agreement findings remain valid; however, exact reproduction of absolute scores requires the same Claude Code version, and re-running the same configurations through a direct Anthropic SDK call may yield slightly different absolute scores. (xiv) AIHubMix routing not independently audited: GPT-5.4 was accessed via the AIHubMix proxy endpoint, which advertises transparent forwarding to the upstream OpenAI API. We did not independently verify response equivalence against direct OpenAI calls; subtle routing-level differences (request batching, header handling) cannot be ruled out, although the GPT-5.4 model identifier was preserved end-to-end. (xv) Temperature setting: all generations used temperature = 1.0 to reflect realistic interactive use. This introduces stochastic variance (mitigated by the 3 replicates per cell), but reduces strict bit-level reproducibility; future studies seeking deterministic comparison should re-run with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(2 K) achieves the highest composite score; under expert evaluation, F_template (15 K), H2_keep_examples (25 K), and G_template_rules (16 K) tie at the top (mean 4.06–4.24), with H4 ranked second-to-last. Scenarios prioritizing token efficiency and cost control should adopt H4 or E_rules_v2 (1–2 K); scenarios requiring formal submission and CNAS accreditation application should adopt G or F (15–16 K); C_full (56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