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 K 骨架）在专家视角下排名倒数第二（3.20 分，n=2），而模板类配置 F_template（15 K）、H2_keep_examples（25 K）与 G_template_rules（16 K）在专家视角下最优（4.06–4.24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效率与成本控制的场景建议采用 H4_sop_only（2 K）或 E_rules_v2（3 K）；正式送审与 CNAS 认可申请场景建议采用 G_template_rules（16 K）或 F_template（15 K）。C_full（56 K）在现阶段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个核心配置 × A 类程序文件任务（A1、A2、A3）分层——构成 21 层抽样框。抽样规模选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位专家之间的一致性极高：ICC(2,k)=0.982（95% CI [0.95, 1.00]），ICC(3,k)=0.981；两两比较的 ICC(2,1) 分别为 0.948（R1-R2）、0.928（R1-R3）、0.969（R2-R3），均达到优秀等级（&gt;0.90）。此结果提示 5 维度评分量规设计具有高度客观性，同时亦表明同单位专家的共识可能高估了跨单位一致性（详见 5 节）。</w:t>
      </w:r>
    </w:p>
    <w:p>
      <w:pPr>
        <w:spacing w:before="80" w:after="80" w:lineRule="auto" w:line="360"/>
        <w:ind w:firstLine="0"/>
        <w:jc w:val="both"/>
      </w:pPr>
      <w:r>
        <w:rPr>
          <w:rFonts w:ascii="Times New Roman" w:hAnsi="Times New Roman" w:eastAsia="宋体"/>
          <w:b w:val="0"/>
          <w:sz w:val="22"/>
        </w:rPr>
        <w:t>专家均值与 Claude 评审的 ICC(3,1)=0.548（p=0.04），Pearson r=0.573，Spearman ρ=0.509，均值差为 −0.905；专家均值与 GPT 评审的 ICC(3,1)=0.217（p=0.26），Pearson r=0.259，均值差为 −0.525（Figure 3）。两种 LLM 评审均系统性高估 0.52–0.90 分；Claude 与专家的排序一致性处于中等水平，GPT 则为差。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val="0"/>
          <w:sz w:val="22"/>
        </w:rPr>
        <w:t>按配置组的专家均值排序为：F_template 4.24（n=1）第 1 名，H2_keep_examples 4.07（n=1）第 2 名，G_template_rules 4.06（n=2）第 3 名，C_full 3.45（n=2）第 4 名，H4_sop_only 3.20（n=2）第 5 名，E_rules_v2 3.19（n=1）第 6 名，A_bare 3.04（n=1）第 7 名。LLM 评估层的第 1 名（H4_sop_only，2 K）在专家视角下排名倒数第二（仅高于 A_bare 0.16 分）。LLM 评审对 C_full 与 H4 的高估最严重（Δ = expert − LLM-judges mean，分别为 −1.00 与 −1.05），提示这两种配置虽呈现结构完整性与术语合规性，但专家可识别其临床实操深度不足。</w:t>
      </w:r>
    </w:p>
    <w:p>
      <w:pPr>
        <w:spacing w:before="200" w:after="80" w:lineRule="auto" w:line="300"/>
        <w:jc w:val="left"/>
      </w:pPr>
      <w:r>
        <w:rPr>
          <w:rFonts w:ascii="Arial" w:hAnsi="Arial" w:eastAsia="黑体"/>
          <w:b/>
          <w:sz w:val="24"/>
        </w:rPr>
        <w:t>3.6 token 规模与质量的双视角关系</w:t>
      </w:r>
    </w:p>
    <w:p>
      <w:pPr>
        <w:spacing w:before="80" w:after="80" w:lineRule="auto" w:line="360"/>
        <w:ind w:firstLine="0"/>
        <w:jc w:val="both"/>
      </w:pPr>
      <w:r>
        <w:rPr>
          <w:rFonts w:ascii="Times New Roman" w:hAnsi="Times New Roman" w:eastAsia="宋体"/>
          <w:b w:val="0"/>
          <w:sz w:val="22"/>
        </w:rPr>
        <w:t>Figure 4 以双视角呈现 token 规模与质量评分的关系。Claude 评审曲线随 token 规模单调上升，至 C_full 仍保持 4.90；GPT 评审曲线在 H4（2 K）附近达到峰值后下降，在 C_full 处出现崩溃；专家评审曲线在 F 与 G 模板区（15–16 K）达到峰值 4.24，而在 H4（2 K）仅 3.20。三条曲线在 2–5 K 区间的分歧最为显著：LLM 评审认为已接近峰值，而专家判断仍显著低于最优。这一结果揭示 token 效率导向的配置优化与临床可用性导向的配置优化在 QMS 生成场景中对应两个不同的目标函数。</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规模与质量评分关系——LLM 评审在 2–5 K 达峰，专家偏好 15–25 K。横轴为 system-prompt 大小（symlog 刻度），纵轴为 0–5 质量评分。绿色实线（方块）为 3 位专家均值，红色实线（圆点）为 Claude Opus 4.6 评审，蓝色实线（三角）为 GPT-5.4 评审。橙色阴影区为 token 效率最优区（H4 / H3），绿色阴影区为专家临床可用性最优区（F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配置精简化在 LLM 层成立但在专家层不成立</w:t>
      </w:r>
    </w:p>
    <w:p>
      <w:pPr>
        <w:spacing w:before="80" w:after="80" w:lineRule="auto" w:line="360"/>
        <w:ind w:firstLine="0"/>
        <w:jc w:val="both"/>
      </w:pPr>
      <w:r>
        <w:rPr>
          <w:rFonts w:ascii="Times New Roman" w:hAnsi="Times New Roman" w:eastAsia="宋体"/>
          <w:b w:val="0"/>
          <w:sz w:val="22"/>
        </w:rPr>
        <w:t>LLM 评审层的四成分消融得出一个简洁结论：规则成分必需（BH-adjusted p&lt;0.001），骨架成分方向为正但经多重比较校正后未达显著（BH-adjusted p=0.11），详细内容与示例无贡献。此结论与 lost-in-the-middle 理论 [3] 及 prompt 精简化实践 [12] 一致。然而专家层分析推翻了这一简化：详细内容（F 与 G 的完整模板）显著提升临床可用性（F 4.24 vs H4 3.20，差距达 1.04），原因在于 LLM 的内化知识不足以覆盖临床实操的所有子场景，包括急诊样本处理、患者自采送检、运送人员资格认证与拒收标准等。此类信息必须通过 system prompt 显式提供。</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 K）综合最优；专家视角下 F_template（15 K）、H2_keep_examples（25 K）与 G_template_rules（16 K）并列最优（均值 4.06–4.24 分），H4 位列倒数第二。追求 token 效率与成本控制的场景推荐采用 H4 或 E_rules_v2（1–2 K），正式送审与 CNAS 认可申请场景推荐采用 G 或 F（15–16 K），C_full（56 K）应避免使用。LLM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