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四因子正交消融（Benjamini-Hochberg FDR 校正）显示，LLM 评估层下仅规则层达到显著（Δ=+0.511；BH-adjusted p&lt;0.001）；骨架层（Δ=+0.213；BH-adjusted p=0.11）、详细内容（Δ=−0.031；BH-adjusted p=0.79）与示例（Δ=−0.053；BH-adjusted p=0.61）均未达显著。(2)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K）、H2_keep_examples（61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15189:2022《医学实验室——质量和能力的要求》作为医学实验室认证的国际标准，在中国合格评定国家认可委员会（CNAS）框架下，国内医学实验室的采用持续扩大 [14]。CNAS-CL02:2023 作为对应的实施文本同步推出。该类标准明确规定实验室"应做什么"但不规定"如何做"，因此实验室须自行构建覆盖质量手册、程序文件与作业指导书的完整</w:t>
      </w:r>
      <w:r>
        <w:rPr>
          <w:rFonts w:ascii="Times New Roman" w:hAnsi="Times New Roman" w:eastAsia="宋体"/>
          <w:b/>
          <w:sz w:val="22"/>
        </w:rPr>
        <w:t>质量管理体系（quality management system, QMS）文件</w:t>
      </w:r>
      <w:r>
        <w:rPr>
          <w:rFonts w:ascii="Times New Roman" w:hAnsi="Times New Roman" w:eastAsia="宋体"/>
          <w:b w:val="0"/>
          <w:sz w:val="22"/>
        </w:rPr>
        <w:t>。根据通讯作者作为 ISO 15189 评审员的经验，此类体系在典型三级甲等医院检验科中通常包含约 100–300 份受控文件，涉及结构组织、条款映射、表单编号与职责分配的系统工程；依靠质量小组手工编写通常需时数月，体系建立后还需经过多轮内审方可定型。寻求 CNAS 认可的实验室通常会聘请技术专家或培训师协助完成此过程。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等新一代模型在长文档生成、结构化输出和专业术语使用方面已显示出相应能力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行为与 prompting 综述 [4,12] 多关注通用任务，缺乏针对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</w:t>
      </w:r>
      <w:r>
        <w:rPr>
          <w:rFonts w:ascii="Times New Roman" w:hAnsi="Times New Roman" w:eastAsia="宋体"/>
          <w:b/>
          <w:sz w:val="22"/>
        </w:rPr>
        <w:t>5 = 完全符合</w:t>
      </w:r>
      <w:r>
        <w:rPr>
          <w:rFonts w:ascii="Times New Roman" w:hAnsi="Times New Roman" w:eastAsia="宋体"/>
          <w:b w:val="0"/>
          <w:sz w:val="22"/>
        </w:rPr>
        <w:t>（下表 5 分锚点）；</w:t>
      </w:r>
      <w:r>
        <w:rPr>
          <w:rFonts w:ascii="Times New Roman" w:hAnsi="Times New Roman" w:eastAsia="宋体"/>
          <w:b/>
          <w:sz w:val="22"/>
        </w:rPr>
        <w:t>4 = 基本符合</w:t>
      </w:r>
      <w:r>
        <w:rPr>
          <w:rFonts w:ascii="Times New Roman" w:hAnsi="Times New Roman" w:eastAsia="宋体"/>
          <w:b w:val="0"/>
          <w:sz w:val="22"/>
        </w:rPr>
        <w:t>（介于 5 分与 3 分锚点之间，仅有少量瑕疵）；</w:t>
      </w:r>
      <w:r>
        <w:rPr>
          <w:rFonts w:ascii="Times New Roman" w:hAnsi="Times New Roman" w:eastAsia="宋体"/>
          <w:b/>
          <w:sz w:val="22"/>
        </w:rPr>
        <w:t>3 = 部分符合</w:t>
      </w:r>
      <w:r>
        <w:rPr>
          <w:rFonts w:ascii="Times New Roman" w:hAnsi="Times New Roman" w:eastAsia="宋体"/>
          <w:b w:val="0"/>
          <w:sz w:val="22"/>
        </w:rPr>
        <w:t>（3 分锚点）；</w:t>
      </w:r>
      <w:r>
        <w:rPr>
          <w:rFonts w:ascii="Times New Roman" w:hAnsi="Times New Roman" w:eastAsia="宋体"/>
          <w:b/>
          <w:sz w:val="22"/>
        </w:rPr>
        <w:t>2 = 明显不符</w:t>
      </w:r>
      <w:r>
        <w:rPr>
          <w:rFonts w:ascii="Times New Roman" w:hAnsi="Times New Roman" w:eastAsia="宋体"/>
          <w:b w:val="0"/>
          <w:sz w:val="22"/>
        </w:rPr>
        <w:t>（介于 3 分与 1 分锚点之间）；</w:t>
      </w:r>
      <w:r>
        <w:rPr>
          <w:rFonts w:ascii="Times New Roman" w:hAnsi="Times New Roman" w:eastAsia="宋体"/>
          <w:b/>
          <w:sz w:val="22"/>
        </w:rPr>
        <w:t>1 = 严重不符</w:t>
      </w:r>
      <w:r>
        <w:rPr>
          <w:rFonts w:ascii="Times New Roman" w:hAnsi="Times New Roman" w:eastAsia="宋体"/>
          <w:b w:val="0"/>
          <w:sz w:val="22"/>
        </w:rPr>
        <w:t>（1 分锚点）；</w:t>
      </w:r>
      <w:r>
        <w:rPr>
          <w:rFonts w:ascii="Times New Roman" w:hAnsi="Times New Roman" w:eastAsia="宋体"/>
          <w:b/>
          <w:sz w:val="22"/>
        </w:rPr>
        <w:t>0 = 维度不可评估</w:t>
      </w:r>
      <w:r>
        <w:rPr>
          <w:rFonts w:ascii="Times New Roman" w:hAnsi="Times New Roman" w:eastAsia="宋体"/>
          <w:b w:val="0"/>
          <w:sz w:val="22"/>
        </w:rPr>
        <w:t>——文件实质性缺失或非实质性输出（例如模型仅返回计划性问询而未生成所需文件）。下表 5/3/1 分锚点描述以完全一致的措辞同时提供给所有评审员（LLM 与专家）；中间分数（2、4）由评分员在两个相邻锚点之间判定。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  <w:r>
        <w:rPr>
          <w:rFonts w:ascii="Times New Roman" w:hAnsi="Times New Roman" w:eastAsia="宋体"/>
          <w:b/>
          <w:sz w:val="22"/>
        </w:rPr>
        <w:t>评分员利益冲突声明</w:t>
      </w:r>
      <w:r>
        <w:rPr>
          <w:rFonts w:ascii="Times New Roman" w:hAnsi="Times New Roman" w:eastAsia="宋体"/>
          <w:b w:val="0"/>
          <w:sz w:val="22"/>
        </w:rPr>
        <w:t>：3 位评分员均与 Anthropic、OpenAI 及其他 LLM 提供商无商业、科研或咨询关系，亦未就本研究接受上述机构的资金或实物资助。</w:t>
      </w:r>
      <w:r>
        <w:rPr>
          <w:rFonts w:ascii="Times New Roman" w:hAnsi="Times New Roman" w:eastAsia="宋体"/>
          <w:b/>
          <w:sz w:val="22"/>
        </w:rPr>
        <w:t>评分前校准</w:t>
      </w:r>
      <w:r>
        <w:rPr>
          <w:rFonts w:ascii="Times New Roman" w:hAnsi="Times New Roman" w:eastAsia="宋体"/>
          <w:b w:val="0"/>
          <w:sz w:val="22"/>
        </w:rPr>
        <w:t>：本研究未开展正式的评分前校准（calibration）会议；3 位评分员仅依据公布的 5 维量规与 ISO/CNAS 标准独立评分。校准缺失作为方法学局限已在 §4.5 (xii) 中说明。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重复）。四因子消融的多重比较校正采用 Benjamini-Hochberg 错误发现率（FDR）方法（statsmodels.stats.multitest.multipletests，method='fdr_bh'，α=0.05）；考虑到 4 对比的探索性 ablation 性质，选择 BH 而非更严格的 Bonferroni。4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3 类互补指标评价：Pearson 相关系数捕捉线性关联同时容许评分者间系统性偏移；Spearman 相关系数评估排序一致性而不假设线性；组内相关系数（ICC）在标准 reliability 框架下定量。三者并报以完整呈现评分者间模式。所采用的 4 种 ICC 变体由 Shrout 与 Fleiss [13] 定义：</w:t>
      </w: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 xml:space="preserve">（单评分者绝对一致性，双向随机效应）与 </w:t>
      </w: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>（单评分者排序一致性，双向混合效应）用于两两比较（如专家均值 vs LLM 评审，以及专家组内两两比较）；</w:t>
      </w: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>——对应 *k 评分者均值* 可靠度变体，k=3——用于评估三专家组的整体可靠度。ICC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与 Benjamini-Hochberg 校正后 p 值。规则层是 4 因子中唯一在校正后仍达到显著的主效应（Δ=+0.511；raw p&lt;0.001；BH-adjusted p&lt;0.001）。骨架层（Δ=+0.213；raw p=0.055；BH-adjusted p=0.11）方向为正，但经多重比较校正后未达到 0.05 阈值；本研究将其作为提示性证据，需进一步验证。详细内容（G vs H3：Δ=−0.031；raw p=0.79；BH-adjusted p=0.79）与示例（H2 vs G：Δ=−0.053；raw p=0.46；BH-adjusted p=0.61）无统计学贡献。H4 与 H3 差异不显著（Δ=−0.009，raw p=0.80；该对比为描述性，不属于 4 因子 BH 集合，故报告未校正值），提示任务特定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65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分析进行评价。(xii) 未开展评分前专家校准：3 位评分员仅依据公布的 5 维度量规与 ISO 15189:2022 / CNAS-CL02:2023 标准独立评分，未事先开展校准会议（即由 3 位评分员先共同评分若干示例文件以对齐解读）。3 位专家间极高的 ICC(2,k)=0.982 表明在本单位语境下量规已足够自解释，但在未来多中心研究中加入正式校准步骤将有助于增强可重复性。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14. Yang S, Zhou Y, Wang C, Luo M. The 'Double Helix' model of quality monitoring: risk mapping of quality management system during initial ISO 15189 implementation in a medical laboratory. PLoS One 2026;21:e0342129.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：14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