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Highlights</w:t>
      </w:r>
    </w:p>
    <w:p>
      <w:pPr>
        <w:pStyle w:val="ListBullet"/>
      </w:pPr>
      <w:r>
        <w:t>Rules improved compliance scores at the LLM-judge tier.</w:t>
      </w:r>
    </w:p>
    <w:p>
      <w:pPr>
        <w:pStyle w:val="ListBullet"/>
      </w:pPr>
      <w:r>
        <w:t>Full-context GPT-5.4 drafts scored lower than Claude drafts across three tasks.</w:t>
      </w:r>
    </w:p>
    <w:p>
      <w:pPr>
        <w:pStyle w:val="ListBullet"/>
      </w:pPr>
      <w:r>
        <w:t>Automated/GPT rankings differed from exploratory expert rankings.</w:t>
      </w:r>
    </w:p>
    <w:p>
      <w:pPr>
        <w:pStyle w:val="ListBullet"/>
      </w:pPr>
      <w:r>
        <w:t>Template-anchored prompts ranked highest in the small expert-reviewed sample.</w:t>
      </w:r>
    </w:p>
    <w:p>
      <w:pPr>
        <w:pStyle w:val="ListBullet"/>
      </w:pPr>
      <w:r>
        <w:t>Both LLM judges overestimated expert scores by 0.52–0.90 points.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 w:cs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/>
      <w:contextualSpacing/>
    </w:pPr>
    <w:rPr>
      <w:rFonts w:ascii="Times New Roman" w:hAnsi="Times New Roman" w:cs="Times New Roman" w:eastAsia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/>
      <w:contextualSpacing/>
    </w:pPr>
    <w:rPr>
      <w:rFonts w:ascii="Times New Roman" w:hAnsi="Times New Roman" w:cs="Times New Roman" w:eastAsia="Times New Roman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Highlights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