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Cover Letter for CCLM Submission</w:t>
      </w:r>
    </w:p>
    <w:p>
      <w:pPr>
        <w:spacing w:before="80" w:after="80" w:lineRule="auto" w:line="360"/>
        <w:ind w:firstLine="0"/>
        <w:jc w:val="both"/>
      </w:pPr>
      <w:r>
        <w:rPr>
          <w:rFonts w:ascii="Times New Roman" w:hAnsi="Times New Roman" w:eastAsia="宋体"/>
          <w:b w:val="0"/>
          <w:sz w:val="22"/>
        </w:rPr>
        <w:t>&gt; Target journal: *Clinical Chemistry and Laboratory Medicine* (CCLM), De Gruyter Brill</w:t>
      </w:r>
    </w:p>
    <w:p>
      <w:pPr>
        <w:spacing w:before="80" w:after="80" w:lineRule="auto" w:line="360"/>
        <w:ind w:firstLine="0"/>
        <w:jc w:val="both"/>
      </w:pPr>
      <w:r>
        <w:rPr>
          <w:rFonts w:ascii="Times New Roman" w:hAnsi="Times New Roman" w:eastAsia="宋体"/>
          <w:b w:val="0"/>
          <w:sz w:val="22"/>
        </w:rPr>
        <w:t>&gt; Manuscript type: Original Article</w:t>
      </w:r>
    </w:p>
    <w:p>
      <w:pPr>
        <w:spacing w:before="80" w:after="80" w:lineRule="auto" w:line="360"/>
        <w:ind w:firstLine="0"/>
        <w:jc w:val="both"/>
      </w:pPr>
      <w:r>
        <w:rPr>
          <w:rFonts w:ascii="Times New Roman" w:hAnsi="Times New Roman" w:eastAsia="宋体"/>
          <w:b w:val="0"/>
          <w:sz w:val="22"/>
        </w:rPr>
        <w:t>&gt; Submission system: Editorial Manager</w:t>
      </w:r>
    </w:p>
    <w:p>
      <w:pPr>
        <w:spacing w:before="280" w:after="120" w:lineRule="auto" w:line="300"/>
        <w:jc w:val="left"/>
      </w:pPr>
      <w:r>
        <w:rPr>
          <w:rFonts w:ascii="Arial" w:hAnsi="Arial" w:eastAsia="黑体"/>
          <w:b/>
          <w:sz w:val="28"/>
        </w:rPr>
        <w:t>英文版（投稿使用）</w:t>
      </w:r>
    </w:p>
    <w:p>
      <w:pPr>
        <w:spacing w:before="80" w:after="80" w:lineRule="auto" w:line="360"/>
        <w:ind w:firstLine="0"/>
        <w:jc w:val="both"/>
      </w:pPr>
      <w:r>
        <w:rPr>
          <w:rFonts w:ascii="Times New Roman" w:hAnsi="Times New Roman" w:eastAsia="宋体"/>
          <w:b/>
          <w:sz w:val="22"/>
        </w:rPr>
        <w:t>Sidi Liu</w:t>
      </w:r>
    </w:p>
    <w:p>
      <w:pPr>
        <w:spacing w:before="80" w:after="80" w:lineRule="auto" w:line="360"/>
        <w:ind w:firstLine="0"/>
        <w:jc w:val="both"/>
      </w:pPr>
      <w:r>
        <w:rPr>
          <w:rFonts w:ascii="Times New Roman" w:hAnsi="Times New Roman" w:eastAsia="宋体"/>
          <w:b/>
          <w:sz w:val="22"/>
        </w:rPr>
        <w:t>Department of Laboratory Medicine, West China Hospital Xiamen, Sichuan University</w:t>
      </w:r>
    </w:p>
    <w:p>
      <w:pPr>
        <w:spacing w:before="80" w:after="80" w:lineRule="auto" w:line="360"/>
        <w:ind w:firstLine="0"/>
        <w:jc w:val="both"/>
      </w:pPr>
      <w:r>
        <w:rPr>
          <w:rFonts w:ascii="Times New Roman" w:hAnsi="Times New Roman" w:eastAsia="宋体"/>
          <w:b/>
          <w:sz w:val="22"/>
        </w:rPr>
        <w:t>No. 188 Houpu West Road, Jimei District, Xiamen, Fujian 361024, China</w:t>
      </w:r>
    </w:p>
    <w:p>
      <w:pPr>
        <w:spacing w:before="80" w:after="80" w:lineRule="auto" w:line="360"/>
        <w:ind w:firstLine="0"/>
        <w:jc w:val="both"/>
      </w:pPr>
      <w:r>
        <w:rPr>
          <w:rFonts w:ascii="Times New Roman" w:hAnsi="Times New Roman" w:eastAsia="宋体"/>
          <w:b w:val="0"/>
          <w:sz w:val="22"/>
        </w:rPr>
        <w:t>27 April 2026</w:t>
      </w:r>
    </w:p>
    <w:p>
      <w:pPr>
        <w:spacing w:before="80" w:after="80" w:lineRule="auto" w:line="360"/>
        <w:ind w:firstLine="0"/>
        <w:jc w:val="both"/>
      </w:pPr>
      <w:r>
        <w:rPr>
          <w:rFonts w:ascii="Times New Roman" w:hAnsi="Times New Roman" w:eastAsia="宋体"/>
          <w:b w:val="0"/>
          <w:sz w:val="22"/>
        </w:rPr>
        <w:t>Professor Mario Plebani</w:t>
      </w:r>
    </w:p>
    <w:p>
      <w:pPr>
        <w:spacing w:before="80" w:after="80" w:lineRule="auto" w:line="360"/>
        <w:ind w:firstLine="0"/>
        <w:jc w:val="both"/>
      </w:pPr>
      <w:r>
        <w:rPr>
          <w:rFonts w:ascii="Times New Roman" w:hAnsi="Times New Roman" w:eastAsia="宋体"/>
          <w:b w:val="0"/>
          <w:sz w:val="22"/>
        </w:rPr>
        <w:t>Editor-in-Chief</w:t>
      </w:r>
    </w:p>
    <w:p>
      <w:pPr>
        <w:spacing w:before="80" w:after="80" w:lineRule="auto" w:line="360"/>
        <w:ind w:firstLine="0"/>
        <w:jc w:val="both"/>
      </w:pPr>
      <w:r>
        <w:rPr>
          <w:rFonts w:ascii="Times New Roman" w:hAnsi="Times New Roman" w:eastAsia="宋体"/>
          <w:b w:val="0"/>
          <w:sz w:val="22"/>
        </w:rPr>
        <w:t>*Clinical Chemistry and Laboratory Medicine* (CCLM)</w:t>
      </w:r>
    </w:p>
    <w:p>
      <w:pPr>
        <w:spacing w:before="80" w:after="80" w:lineRule="auto" w:line="360"/>
        <w:ind w:firstLine="0"/>
        <w:jc w:val="both"/>
      </w:pPr>
      <w:r>
        <w:rPr>
          <w:rFonts w:ascii="Times New Roman" w:hAnsi="Times New Roman" w:eastAsia="宋体"/>
          <w:b w:val="0"/>
          <w:sz w:val="22"/>
        </w:rPr>
        <w:t>De Gruyter Brill</w:t>
      </w:r>
    </w:p>
    <w:p>
      <w:pPr>
        <w:spacing w:before="80" w:after="80" w:lineRule="auto" w:line="360"/>
        <w:ind w:firstLine="0"/>
        <w:jc w:val="both"/>
      </w:pPr>
      <w:r>
        <w:rPr>
          <w:rFonts w:ascii="Times New Roman" w:hAnsi="Times New Roman" w:eastAsia="宋体"/>
          <w:b w:val="0"/>
          <w:sz w:val="22"/>
        </w:rPr>
        <w:t>Dear Professor Plebani and the Editorial Board,</w:t>
      </w:r>
    </w:p>
    <w:p>
      <w:pPr>
        <w:spacing w:before="80" w:after="80" w:lineRule="auto" w:line="360"/>
        <w:ind w:firstLine="0"/>
        <w:jc w:val="both"/>
      </w:pPr>
      <w:r>
        <w:rPr>
          <w:rFonts w:ascii="Times New Roman" w:hAnsi="Times New Roman" w:eastAsia="宋体"/>
          <w:b w:val="0"/>
          <w:sz w:val="22"/>
        </w:rPr>
        <w:t xml:space="preserve">I am pleased to submit the enclosed original-research manuscript entitled </w:t>
      </w:r>
      <w:r>
        <w:rPr>
          <w:rFonts w:ascii="Times New Roman" w:hAnsi="Times New Roman" w:eastAsia="宋体"/>
          <w:b/>
          <w:sz w:val="22"/>
        </w:rPr>
        <w:t>"A Compliance Study of LLM-Generated Medical Laboratory QMS Documents Under Different Configurations"</w:t>
      </w:r>
      <w:r>
        <w:rPr>
          <w:rFonts w:ascii="Times New Roman" w:hAnsi="Times New Roman" w:eastAsia="宋体"/>
          <w:b w:val="0"/>
          <w:sz w:val="22"/>
        </w:rPr>
        <w:t xml:space="preserve"> for consideration by *Clinical Chemistry and Laboratory Medicine*.</w:t>
      </w:r>
    </w:p>
    <w:p>
      <w:pPr>
        <w:spacing w:before="80" w:after="80" w:lineRule="auto" w:line="360"/>
        <w:ind w:firstLine="0"/>
        <w:jc w:val="both"/>
      </w:pPr>
      <w:r>
        <w:rPr>
          <w:rFonts w:ascii="Times New Roman" w:hAnsi="Times New Roman" w:eastAsia="宋体"/>
          <w:b/>
          <w:sz w:val="22"/>
        </w:rPr>
        <w:t>Novelty and relevance to CCLM.</w:t>
      </w:r>
      <w:r>
        <w:rPr>
          <w:rFonts w:ascii="Times New Roman" w:hAnsi="Times New Roman" w:eastAsia="宋体"/>
          <w:b w:val="0"/>
          <w:sz w:val="22"/>
        </w:rPr>
        <w:t xml:space="preserve"> ISO 15189:2022 and its Chinese implementation CNAS-CL02:2023 are driving a large-scale rebuild of quality-management-system (QMS) documentation across medical laboratories. Large language models (LLMs) offer a plausible route to accelerate this process, yet no systematic study has examined *which configuration strategy* yields compliant documents, or *how to evaluate such outputs reliably*. This work fills that gap. Across 486 generated documents, 864 LLM evaluations, and 30 blinded ratings by three ISO 15189–qualified experts (inter-rater ICC(2,k) = 0.982), we show that:</w:t>
      </w:r>
    </w:p>
    <w:p>
      <w:pPr>
        <w:spacing w:before="80" w:after="80" w:lineRule="auto" w:line="360"/>
        <w:ind w:firstLine="0"/>
        <w:jc w:val="both"/>
      </w:pPr>
      <w:r>
        <w:rPr>
          <w:rFonts w:ascii="Times New Roman" w:hAnsi="Times New Roman" w:eastAsia="宋体"/>
          <w:b w:val="0"/>
          <w:sz w:val="22"/>
        </w:rPr>
        <w:t>1. The "optimal" configuration depends on the evaluator: LLM judges prefer a minimalist 2-K skeleton configuration (*H4_sop_only*), whereas expert raters rank it second-to-last. Template-based configurations (F_template at 15 K, H2_keep_examples at 25 K, and G_template_rules at 16 K) are preferred by experts for clinical usability (mean 4.06–4.24 on a 0–5 scale).</w:t>
      </w:r>
    </w:p>
    <w:p>
      <w:pPr>
        <w:spacing w:before="80" w:after="80" w:lineRule="auto" w:line="360"/>
        <w:ind w:firstLine="0"/>
        <w:jc w:val="both"/>
      </w:pPr>
      <w:r>
        <w:rPr>
          <w:rFonts w:ascii="Times New Roman" w:hAnsi="Times New Roman" w:eastAsia="宋体"/>
          <w:b w:val="0"/>
          <w:sz w:val="22"/>
        </w:rPr>
        <w:t>2. The 56-K full-context configuration (*C_full*) collapses under GPT-5.4 generation (cross-evaluated 1.40–1.84) while remaining acceptable under Claude Opus 4.6 (3.22–4.56), demonstrating that "more context is better" is a model-specific rather than universal claim.</w:t>
      </w:r>
    </w:p>
    <w:p>
      <w:pPr>
        <w:spacing w:before="80" w:after="80" w:lineRule="auto" w:line="360"/>
        <w:ind w:firstLine="0"/>
        <w:jc w:val="both"/>
      </w:pPr>
      <w:r>
        <w:rPr>
          <w:rFonts w:ascii="Times New Roman" w:hAnsi="Times New Roman" w:eastAsia="宋体"/>
          <w:b w:val="0"/>
          <w:sz w:val="22"/>
        </w:rPr>
        <w:t>3. Both LLM judges systematically overrate relative to the expert panel by 0.52–0.90 points on a 0–5 scale; Claude Opus shows moderate rank agreement with experts [ICC(3,1) = 0.548] while GPT-5.4 does not [ICC(3,1) = 0.217].</w:t>
      </w:r>
    </w:p>
    <w:p>
      <w:pPr>
        <w:spacing w:before="80" w:after="80" w:lineRule="auto" w:line="360"/>
        <w:ind w:firstLine="0"/>
        <w:jc w:val="both"/>
      </w:pPr>
      <w:r>
        <w:rPr>
          <w:rFonts w:ascii="Times New Roman" w:hAnsi="Times New Roman" w:eastAsia="宋体"/>
          <w:b w:val="0"/>
          <w:sz w:val="22"/>
        </w:rPr>
        <w:t>Together, these findings provide a systematic empirical comparison of nine configurations for LLM-assisted ISO 15189 QMS document generation and disclose the limits of LLM-as-Judge evaluation in a laboratory-medicine setting. The manuscript directly serves CCLM's readership of clinical chemists, laboratory directors, and QMS professionals by giving concrete, scenario-tiered configuration recommendations.</w:t>
      </w:r>
    </w:p>
    <w:p>
      <w:pPr>
        <w:spacing w:before="80" w:after="80" w:lineRule="auto" w:line="360"/>
        <w:ind w:firstLine="0"/>
        <w:jc w:val="both"/>
      </w:pPr>
      <w:r>
        <w:rPr>
          <w:rFonts w:ascii="Times New Roman" w:hAnsi="Times New Roman" w:eastAsia="宋体"/>
          <w:b/>
          <w:sz w:val="22"/>
        </w:rPr>
        <w:t>Compliance with De Gruyter Brill's AI Policy for Authors.</w:t>
      </w:r>
      <w:r>
        <w:rPr>
          <w:rFonts w:ascii="Times New Roman" w:hAnsi="Times New Roman" w:eastAsia="宋体"/>
          <w:b w:val="0"/>
          <w:sz w:val="22"/>
        </w:rPr>
        <w:t xml:space="preserve"> This research uses generative AI both as the object of study (486 documents generated by Claude Opus 4.6 and GPT-5.4) and as a methodological instrument (LLM-as-Judge evaluation); I have therefore included a detailed "Acknowledgement of AI tool use" section covering: (i) AI as research objects, (ii) AI as evaluators, (iii) AI-assisted manuscript drafting, (iv) absence of AI-generated images or manipulated data (all figures produced with matplotlib from raw JSON), and (v) sole human accountability. I confirm that no part of the manuscript was uploaded to third-party AI grammar or review services, and all AI-assisted drafting was verified and revised by the author.</w:t>
      </w:r>
    </w:p>
    <w:p>
      <w:pPr>
        <w:spacing w:before="80" w:after="80" w:lineRule="auto" w:line="360"/>
        <w:ind w:firstLine="0"/>
        <w:jc w:val="both"/>
      </w:pPr>
      <w:r>
        <w:rPr>
          <w:rFonts w:ascii="Times New Roman" w:hAnsi="Times New Roman" w:eastAsia="宋体"/>
          <w:b/>
          <w:sz w:val="22"/>
        </w:rPr>
        <w:t>Ethics and data availability.</w:t>
      </w:r>
      <w:r>
        <w:rPr>
          <w:rFonts w:ascii="Times New Roman" w:hAnsi="Times New Roman" w:eastAsia="宋体"/>
          <w:b w:val="0"/>
          <w:sz w:val="22"/>
        </w:rPr>
        <w:t xml:space="preserve"> The study involved three laboratory professionals who provided written informed consent to participate as expert raters; it did not involve patient data, biological samples, or any intervention. All 486 generated documents, all 30 expert ratings, per-paper raw scores for 756 of the 864 LLM-judge ratings, and all analysis scripts are publicly available at https://github.com/stttttte/iso15189-llm-config-experiment under MIT (code) and CC BY 4.0 (data) licences; the remaining cross-judge cells are documented as aggregated means in §4.5 (limitation x).</w:t>
      </w:r>
    </w:p>
    <w:p>
      <w:pPr>
        <w:spacing w:before="80" w:after="80" w:lineRule="auto" w:line="360"/>
        <w:ind w:firstLine="0"/>
        <w:jc w:val="both"/>
      </w:pPr>
      <w:r>
        <w:rPr>
          <w:rFonts w:ascii="Times New Roman" w:hAnsi="Times New Roman" w:eastAsia="宋体"/>
          <w:b/>
          <w:sz w:val="22"/>
        </w:rPr>
        <w:t>Author and declarations.</w:t>
      </w:r>
      <w:r>
        <w:rPr>
          <w:rFonts w:ascii="Times New Roman" w:hAnsi="Times New Roman" w:eastAsia="宋体"/>
          <w:b w:val="0"/>
          <w:sz w:val="22"/>
        </w:rPr>
        <w:t xml:space="preserve"> I am the sole author of this manuscript and take full responsibility for its content. This work has not been published elsewhere, is not under consideration at any other journal, and has no competing interests.</w:t>
      </w:r>
    </w:p>
    <w:p>
      <w:pPr>
        <w:spacing w:before="80" w:after="80" w:lineRule="auto" w:line="360"/>
        <w:ind w:firstLine="0"/>
        <w:jc w:val="both"/>
      </w:pPr>
      <w:r>
        <w:rPr>
          <w:rFonts w:ascii="Times New Roman" w:hAnsi="Times New Roman" w:eastAsia="宋体"/>
          <w:b/>
          <w:sz w:val="22"/>
        </w:rPr>
        <w:t>Suggested reviewers.</w:t>
      </w:r>
      <w:r>
        <w:rPr>
          <w:rFonts w:ascii="Times New Roman" w:hAnsi="Times New Roman" w:eastAsia="宋体"/>
          <w:b w:val="0"/>
          <w:sz w:val="22"/>
        </w:rPr>
        <w:t xml:space="preserve"> I respectfully suggest the following specialists with relevant expertise in laboratory QMS, ISO 15189, and/or LLM evaluation (please confirm availability through your editorial process):</w:t>
      </w:r>
    </w:p>
    <w:p>
      <w:pPr>
        <w:spacing w:before="80" w:after="80" w:lineRule="auto" w:line="360"/>
        <w:ind w:firstLine="0"/>
        <w:jc w:val="both"/>
      </w:pPr>
      <w:r>
        <w:rPr>
          <w:rFonts w:ascii="Times New Roman" w:hAnsi="Times New Roman" w:eastAsia="宋体"/>
          <w:b w:val="0"/>
          <w:sz w:val="22"/>
        </w:rPr>
        <w:t xml:space="preserve">1. </w:t>
      </w:r>
      <w:r>
        <w:rPr>
          <w:rFonts w:ascii="Times New Roman" w:hAnsi="Times New Roman" w:eastAsia="宋体"/>
          <w:b/>
          <w:sz w:val="22"/>
        </w:rPr>
        <w:t>Dr. Hikmet Can Çubukçu, MD, Assoc. Prof.</w:t>
      </w:r>
      <w:r>
        <w:rPr>
          <w:rFonts w:ascii="Times New Roman" w:hAnsi="Times New Roman" w:eastAsia="宋体"/>
          <w:b w:val="0"/>
          <w:sz w:val="22"/>
        </w:rPr>
        <w:t xml:space="preserve"> — Rare Diseases Department, General Directorate of Health Services, Turkish Ministry of Health, Ankara, Türkiye; Department of Medical Biochemistry, Sincan Training and Research Hospital, Ankara, Türkiye. Email: hikmetcancubukcu@gmail.com. ORCID: 0000-0001-5321-9354. *Expertise: ISO 15189:2022 (co-author of the EFLM Working Group on Accreditation revision-analysis paper, CCLM 2025) and AI in laboratory medicine (recent CCLM paper on AI in the pre-analytical phase, 2025).*</w:t>
      </w:r>
    </w:p>
    <w:p>
      <w:pPr>
        <w:spacing w:before="80" w:after="80" w:lineRule="auto" w:line="360"/>
        <w:ind w:firstLine="0"/>
        <w:jc w:val="both"/>
      </w:pPr>
      <w:r>
        <w:rPr>
          <w:rFonts w:ascii="Times New Roman" w:hAnsi="Times New Roman" w:eastAsia="宋体"/>
          <w:b w:val="0"/>
          <w:sz w:val="22"/>
        </w:rPr>
        <w:t xml:space="preserve">2. </w:t>
      </w:r>
      <w:r>
        <w:rPr>
          <w:rFonts w:ascii="Times New Roman" w:hAnsi="Times New Roman" w:eastAsia="宋体"/>
          <w:b/>
          <w:sz w:val="22"/>
        </w:rPr>
        <w:t>Dr. Tze Ping Loh</w:t>
      </w:r>
      <w:r>
        <w:rPr>
          <w:rFonts w:ascii="Times New Roman" w:hAnsi="Times New Roman" w:eastAsia="宋体"/>
          <w:b w:val="0"/>
          <w:sz w:val="22"/>
        </w:rPr>
        <w:t xml:space="preserve"> — Department of Laboratory Medicine, National University Hospital, 5 Lower Kent Ridge Road, 119074 Singapore. Email: Tze_ping_loh@nuhs.edu.sg. *Expertise: machine learning and AI applications in clinical chemistry; patient-based real-time quality control; lot-to-lot verification; frequent CCLM author and editor of the* Journal of Laboratory and Precision Medicine.</w:t>
      </w:r>
    </w:p>
    <w:p>
      <w:pPr>
        <w:spacing w:before="80" w:after="80" w:lineRule="auto" w:line="360"/>
        <w:ind w:firstLine="0"/>
        <w:jc w:val="both"/>
      </w:pPr>
      <w:r>
        <w:rPr>
          <w:rFonts w:ascii="Times New Roman" w:hAnsi="Times New Roman" w:eastAsia="宋体"/>
          <w:b w:val="0"/>
          <w:sz w:val="22"/>
        </w:rPr>
        <w:t xml:space="preserve">3. </w:t>
      </w:r>
      <w:r>
        <w:rPr>
          <w:rFonts w:ascii="Times New Roman" w:hAnsi="Times New Roman" w:eastAsia="宋体"/>
          <w:b/>
          <w:sz w:val="22"/>
        </w:rPr>
        <w:t>Prof. Marc H. M. Thelen</w:t>
      </w:r>
      <w:r>
        <w:rPr>
          <w:rFonts w:ascii="Times New Roman" w:hAnsi="Times New Roman" w:eastAsia="宋体"/>
          <w:b w:val="0"/>
          <w:sz w:val="22"/>
        </w:rPr>
        <w:t xml:space="preserve"> — Foundation for Quality Assessment in Medical Laboratories (SKML) and Department of Laboratory Medicine, Radboud University Medical Center, Nijmegen, The Netherlands. Email: mthelen@skml.nl. *Expertise: ISO 15189 accreditation and metrological traceability; core member of the EFLM Working Group on Accreditation and ISO/CEN Standards; co-author of the EN ISO 15189:2022 revision-analysis paper (CCLM 2025).*</w:t>
      </w:r>
    </w:p>
    <w:p>
      <w:pPr>
        <w:spacing w:before="80" w:after="80" w:lineRule="auto" w:line="360"/>
        <w:ind w:firstLine="0"/>
        <w:jc w:val="both"/>
      </w:pPr>
      <w:r>
        <w:rPr>
          <w:rFonts w:ascii="Times New Roman" w:hAnsi="Times New Roman" w:eastAsia="宋体"/>
          <w:b w:val="0"/>
          <w:sz w:val="22"/>
        </w:rPr>
        <w:t>I also declare that no reviewer conflicts apply to Editorial Board members of CCLM.</w:t>
      </w:r>
    </w:p>
    <w:p>
      <w:pPr>
        <w:spacing w:before="80" w:after="80" w:lineRule="auto" w:line="360"/>
        <w:ind w:firstLine="0"/>
        <w:jc w:val="both"/>
      </w:pPr>
      <w:r>
        <w:rPr>
          <w:rFonts w:ascii="Times New Roman" w:hAnsi="Times New Roman" w:eastAsia="宋体"/>
          <w:b/>
          <w:sz w:val="22"/>
        </w:rPr>
        <w:t>Preferred non-reviewers.</w:t>
      </w:r>
      <w:r>
        <w:rPr>
          <w:rFonts w:ascii="Times New Roman" w:hAnsi="Times New Roman" w:eastAsia="宋体"/>
          <w:b w:val="0"/>
          <w:sz w:val="22"/>
        </w:rPr>
        <w:t xml:space="preserve"> None.</w:t>
      </w:r>
    </w:p>
    <w:p>
      <w:pPr>
        <w:spacing w:before="80" w:after="80" w:lineRule="auto" w:line="360"/>
        <w:ind w:firstLine="0"/>
        <w:jc w:val="both"/>
      </w:pPr>
      <w:r>
        <w:rPr>
          <w:rFonts w:ascii="Times New Roman" w:hAnsi="Times New Roman" w:eastAsia="宋体"/>
          <w:b w:val="0"/>
          <w:sz w:val="22"/>
        </w:rPr>
        <w:t>Thank you for considering this submission. I look forward to the Editorial Board's feedback.</w:t>
      </w:r>
    </w:p>
    <w:p>
      <w:pPr>
        <w:spacing w:before="80" w:after="80" w:lineRule="auto" w:line="360"/>
        <w:ind w:firstLine="0"/>
        <w:jc w:val="both"/>
      </w:pPr>
      <w:r>
        <w:rPr>
          <w:rFonts w:ascii="Times New Roman" w:hAnsi="Times New Roman" w:eastAsia="宋体"/>
          <w:b w:val="0"/>
          <w:sz w:val="22"/>
        </w:rPr>
        <w:t>Sincerely,</w:t>
      </w:r>
    </w:p>
    <w:p>
      <w:pPr>
        <w:spacing w:before="80" w:after="80" w:lineRule="auto" w:line="360"/>
        <w:ind w:firstLine="0"/>
        <w:jc w:val="both"/>
      </w:pPr>
      <w:r>
        <w:rPr>
          <w:rFonts w:ascii="Times New Roman" w:hAnsi="Times New Roman" w:eastAsia="宋体"/>
          <w:b/>
          <w:sz w:val="22"/>
        </w:rPr>
        <w:t>Sidi Liu</w:t>
      </w:r>
      <w:r>
        <w:rPr>
          <w:rFonts w:ascii="Times New Roman" w:hAnsi="Times New Roman" w:eastAsia="宋体"/>
          <w:b w:val="0"/>
          <w:sz w:val="22"/>
        </w:rPr>
        <w:t xml:space="preserve"> (ORCID: 0009-0006-1695-5372)</w:t>
      </w:r>
    </w:p>
    <w:p>
      <w:pPr>
        <w:spacing w:before="80" w:after="80" w:lineRule="auto" w:line="360"/>
        <w:ind w:firstLine="0"/>
        <w:jc w:val="both"/>
      </w:pPr>
      <w:r>
        <w:rPr>
          <w:rFonts w:ascii="Times New Roman" w:hAnsi="Times New Roman" w:eastAsia="宋体"/>
          <w:b w:val="0"/>
          <w:sz w:val="22"/>
        </w:rPr>
        <w:t>Department of Laboratory Medicine, West China Hospital Xiamen, Sichuan University, Xiamen, Fujian, China</w:t>
      </w:r>
    </w:p>
    <w:p>
      <w:pPr>
        <w:spacing w:before="80" w:after="80" w:lineRule="auto" w:line="360"/>
        <w:ind w:firstLine="0"/>
        <w:jc w:val="both"/>
      </w:pPr>
      <w:r>
        <w:rPr>
          <w:rFonts w:ascii="Times New Roman" w:hAnsi="Times New Roman" w:eastAsia="宋体"/>
          <w:b w:val="0"/>
          <w:sz w:val="22"/>
        </w:rPr>
        <w:t>Email: lllsssddd@icloud.com</w:t>
      </w:r>
    </w:p>
    <w:p>
      <w:pPr>
        <w:spacing w:before="280" w:after="120" w:lineRule="auto" w:line="300"/>
        <w:jc w:val="left"/>
      </w:pPr>
      <w:r>
        <w:rPr>
          <w:rFonts w:ascii="Arial" w:hAnsi="Arial" w:eastAsia="黑体"/>
          <w:b/>
          <w:sz w:val="28"/>
        </w:rPr>
        <w:t>中文辅助注释（不随稿提交，仅自用）</w:t>
      </w:r>
    </w:p>
    <w:p>
      <w:pPr>
        <w:spacing w:before="200" w:after="80" w:lineRule="auto" w:line="300"/>
        <w:jc w:val="left"/>
      </w:pPr>
      <w:r>
        <w:rPr>
          <w:rFonts w:ascii="Arial" w:hAnsi="Arial" w:eastAsia="黑体"/>
          <w:b/>
          <w:sz w:val="24"/>
        </w:rPr>
        <w:t>填写 checklist（投稿前务必填完）</w:t>
      </w:r>
    </w:p>
    <w:p>
      <w:pPr>
        <w:pStyle w:val="ListBullet"/>
        <w:spacing w:before="40" w:after="40" w:lineRule="auto" w:line="360"/>
      </w:pPr>
      <w:r>
        <w:rPr>
          <w:rFonts w:ascii="Times New Roman" w:hAnsi="Times New Roman" w:eastAsia="宋体"/>
          <w:b w:val="0"/>
          <w:sz w:val="22"/>
        </w:rPr>
        <w:t>[ ] 第一行地址信息（单位、部门、地址、邮编）</w:t>
      </w:r>
    </w:p>
    <w:p>
      <w:pPr>
        <w:pStyle w:val="ListBullet"/>
        <w:spacing w:before="40" w:after="40" w:lineRule="auto" w:line="360"/>
      </w:pPr>
      <w:r>
        <w:rPr>
          <w:rFonts w:ascii="Times New Roman" w:hAnsi="Times New Roman" w:eastAsia="宋体"/>
          <w:b w:val="0"/>
          <w:sz w:val="22"/>
        </w:rPr>
        <w:t>[ ] 日期（CCLM 惯例用 "19 April 2026" 格式）</w:t>
      </w:r>
    </w:p>
    <w:p>
      <w:pPr>
        <w:pStyle w:val="ListBullet"/>
        <w:spacing w:before="40" w:after="40" w:lineRule="auto" w:line="360"/>
      </w:pPr>
      <w:r>
        <w:rPr>
          <w:rFonts w:ascii="Times New Roman" w:hAnsi="Times New Roman" w:eastAsia="宋体"/>
          <w:b w:val="0"/>
          <w:sz w:val="22"/>
        </w:rPr>
        <w:t>[ ] Professor Mario Plebani 是 CCLM 现任主编（2026-04 核实：若变更，请从 CCLM 官网主编页更新）</w:t>
      </w:r>
    </w:p>
    <w:p>
      <w:pPr>
        <w:pStyle w:val="ListBullet"/>
        <w:spacing w:before="40" w:after="40" w:lineRule="auto" w:line="360"/>
      </w:pPr>
      <w:r>
        <w:rPr>
          <w:rFonts w:ascii="Times New Roman" w:hAnsi="Times New Roman" w:eastAsia="宋体"/>
          <w:b w:val="0"/>
          <w:sz w:val="22"/>
        </w:rPr>
        <w:t>[ ] [Affiliation] 单位全称 + 英文译名</w:t>
      </w:r>
    </w:p>
    <w:p>
      <w:pPr>
        <w:pStyle w:val="ListBullet"/>
        <w:spacing w:before="40" w:after="40" w:lineRule="auto" w:line="360"/>
      </w:pPr>
      <w:r>
        <w:rPr>
          <w:rFonts w:ascii="Times New Roman" w:hAnsi="Times New Roman" w:eastAsia="宋体"/>
          <w:b w:val="0"/>
          <w:sz w:val="22"/>
        </w:rPr>
        <w:t xml:space="preserve">[ ] </w:t>
      </w:r>
      <w:r>
        <w:rPr>
          <w:rFonts w:ascii="Times New Roman" w:hAnsi="Times New Roman" w:eastAsia="宋体"/>
          <w:b/>
          <w:sz w:val="22"/>
        </w:rPr>
        <w:t>Suggested reviewers 3 位</w:t>
      </w:r>
      <w:r>
        <w:rPr>
          <w:rFonts w:ascii="Times New Roman" w:hAnsi="Times New Roman" w:eastAsia="宋体"/>
          <w:b w:val="0"/>
          <w:sz w:val="22"/>
        </w:rPr>
        <w:t>（候选思路）：</w:t>
      </w:r>
    </w:p>
    <w:p>
      <w:pPr>
        <w:pStyle w:val="ListBullet"/>
        <w:spacing w:before="40" w:after="40" w:lineRule="auto" w:line="360"/>
      </w:pPr>
      <w:r>
        <w:rPr>
          <w:rFonts w:ascii="Times New Roman" w:hAnsi="Times New Roman" w:eastAsia="宋体"/>
          <w:b w:val="0"/>
          <w:sz w:val="22"/>
        </w:rPr>
        <w:t>中国 CNAS 评审系统熟悉者（如某医院检验科主任，不宜是你认识太熟的）</w:t>
      </w:r>
    </w:p>
    <w:p>
      <w:pPr>
        <w:pStyle w:val="ListBullet"/>
        <w:spacing w:before="40" w:after="40" w:lineRule="auto" w:line="360"/>
      </w:pPr>
      <w:r>
        <w:rPr>
          <w:rFonts w:ascii="Times New Roman" w:hAnsi="Times New Roman" w:eastAsia="宋体"/>
          <w:b w:val="0"/>
          <w:sz w:val="22"/>
        </w:rPr>
        <w:t>LLM 医学应用研究者（可从近两年 JAMIA / Nature Medicine 的 LLM 论文里找通讯作者）</w:t>
      </w:r>
    </w:p>
    <w:p>
      <w:pPr>
        <w:pStyle w:val="ListBullet"/>
        <w:spacing w:before="40" w:after="40" w:lineRule="auto" w:line="360"/>
      </w:pPr>
      <w:r>
        <w:rPr>
          <w:rFonts w:ascii="Times New Roman" w:hAnsi="Times New Roman" w:eastAsia="宋体"/>
          <w:b w:val="0"/>
          <w:sz w:val="22"/>
        </w:rPr>
        <w:t>欧美 ISO 15189 学者（可从 CCLM 近期 QMS 相关论文找）</w:t>
      </w:r>
    </w:p>
    <w:p>
      <w:pPr>
        <w:pStyle w:val="ListBullet"/>
        <w:spacing w:before="40" w:after="40" w:lineRule="auto" w:line="360"/>
      </w:pPr>
      <w:r>
        <w:rPr>
          <w:rFonts w:ascii="Times New Roman" w:hAnsi="Times New Roman" w:eastAsia="宋体"/>
          <w:b w:val="0"/>
          <w:sz w:val="22"/>
        </w:rPr>
        <w:t>[ ] 勾选 CCLM Editorial Manager 系统里的"AI declaration"复选框（如有）</w:t>
      </w:r>
    </w:p>
    <w:p>
      <w:pPr>
        <w:pStyle w:val="ListBullet"/>
        <w:spacing w:before="40" w:after="40" w:lineRule="auto" w:line="360"/>
      </w:pPr>
      <w:r>
        <w:rPr>
          <w:rFonts w:ascii="Times New Roman" w:hAnsi="Times New Roman" w:eastAsia="宋体"/>
          <w:b w:val="0"/>
          <w:sz w:val="22"/>
        </w:rPr>
        <w:t>[ ] 上传附件：manuscript PDF + source .docx + figures × 4（PNG 300 DPI）+ supplementary + cover letter + ICMJE 利益冲突表 + 伦理 exemption letter</w:t>
      </w:r>
    </w:p>
    <w:p>
      <w:pPr>
        <w:spacing w:before="200" w:after="80" w:lineRule="auto" w:line="300"/>
        <w:jc w:val="left"/>
      </w:pPr>
      <w:r>
        <w:rPr>
          <w:rFonts w:ascii="Arial" w:hAnsi="Arial" w:eastAsia="黑体"/>
          <w:b/>
          <w:sz w:val="24"/>
        </w:rPr>
        <w:t>Cover letter 字数</w:t>
      </w:r>
    </w:p>
    <w:p>
      <w:pPr>
        <w:spacing w:before="80" w:after="80" w:lineRule="auto" w:line="360"/>
        <w:ind w:firstLine="0"/>
        <w:jc w:val="both"/>
      </w:pPr>
      <w:r>
        <w:rPr>
          <w:rFonts w:ascii="Times New Roman" w:hAnsi="Times New Roman" w:eastAsia="宋体"/>
          <w:b w:val="0"/>
          <w:sz w:val="22"/>
        </w:rPr>
        <w:t>当前约 650 英文词。CCLM 无严格字数上限，一般 500–800 词合适。若需压缩，可删减 Novelty 段的具体数字细节（放摘要就够）。</w:t>
      </w:r>
    </w:p>
    <w:p>
      <w:pPr>
        <w:spacing w:before="200" w:after="80" w:lineRule="auto" w:line="300"/>
        <w:jc w:val="left"/>
      </w:pPr>
      <w:r>
        <w:rPr>
          <w:rFonts w:ascii="Arial" w:hAnsi="Arial" w:eastAsia="黑体"/>
          <w:b/>
          <w:sz w:val="24"/>
        </w:rPr>
        <w:t>语气要点</w:t>
      </w:r>
    </w:p>
    <w:p>
      <w:pPr>
        <w:pStyle w:val="ListBullet"/>
        <w:spacing w:before="40" w:after="40" w:lineRule="auto" w:line="360"/>
      </w:pPr>
      <w:r>
        <w:rPr>
          <w:rFonts w:ascii="Times New Roman" w:hAnsi="Times New Roman" w:eastAsia="宋体"/>
          <w:b/>
          <w:sz w:val="22"/>
        </w:rPr>
        <w:t>自信但不傲慢</w:t>
      </w:r>
      <w:r>
        <w:rPr>
          <w:rFonts w:ascii="Times New Roman" w:hAnsi="Times New Roman" w:eastAsia="宋体"/>
          <w:b w:val="0"/>
          <w:sz w:val="22"/>
        </w:rPr>
        <w:t>：陈述事实（ICC 数字、样本量）不加形容词（avoid "groundbreaking"）</w:t>
      </w:r>
    </w:p>
    <w:p>
      <w:pPr>
        <w:pStyle w:val="ListBullet"/>
        <w:spacing w:before="40" w:after="40" w:lineRule="auto" w:line="360"/>
      </w:pPr>
      <w:r>
        <w:rPr>
          <w:rFonts w:ascii="Times New Roman" w:hAnsi="Times New Roman" w:eastAsia="宋体"/>
          <w:b/>
          <w:sz w:val="22"/>
        </w:rPr>
        <w:t>合规主动披露</w:t>
      </w:r>
      <w:r>
        <w:rPr>
          <w:rFonts w:ascii="Times New Roman" w:hAnsi="Times New Roman" w:eastAsia="宋体"/>
          <w:b w:val="0"/>
          <w:sz w:val="22"/>
        </w:rPr>
        <w:t>：De Gruyter 近两年对 AI 论文谨慎，cover letter 里</w:t>
      </w:r>
      <w:r>
        <w:rPr>
          <w:rFonts w:ascii="Times New Roman" w:hAnsi="Times New Roman" w:eastAsia="宋体"/>
          <w:b/>
          <w:sz w:val="22"/>
        </w:rPr>
        <w:t>主动点出合规</w:t>
      </w:r>
      <w:r>
        <w:rPr>
          <w:rFonts w:ascii="Times New Roman" w:hAnsi="Times New Roman" w:eastAsia="宋体"/>
          <w:b w:val="0"/>
          <w:sz w:val="22"/>
        </w:rPr>
        <w:t>会赢得审稿人信任</w:t>
      </w:r>
    </w:p>
    <w:p>
      <w:pPr>
        <w:pStyle w:val="ListBullet"/>
        <w:spacing w:before="40" w:after="40" w:lineRule="auto" w:line="360"/>
      </w:pPr>
      <w:r>
        <w:rPr>
          <w:rFonts w:ascii="Times New Roman" w:hAnsi="Times New Roman" w:eastAsia="宋体"/>
          <w:b/>
          <w:sz w:val="22"/>
        </w:rPr>
        <w:t>结构分段清晰</w:t>
      </w:r>
      <w:r>
        <w:rPr>
          <w:rFonts w:ascii="Times New Roman" w:hAnsi="Times New Roman" w:eastAsia="宋体"/>
          <w:b w:val="0"/>
          <w:sz w:val="22"/>
        </w:rPr>
        <w:t>：每段一个主题（Novelty / AI compliance / Ethics / Authorship / Reviewers）</w:t>
      </w:r>
    </w:p>
    <w:p>
      <w:pPr>
        <w:spacing w:before="200" w:after="80" w:lineRule="auto" w:line="300"/>
        <w:jc w:val="left"/>
      </w:pPr>
      <w:r>
        <w:rPr>
          <w:rFonts w:ascii="Arial" w:hAnsi="Arial" w:eastAsia="黑体"/>
          <w:b/>
          <w:sz w:val="24"/>
        </w:rPr>
        <w:t>投稿后注意</w:t>
      </w:r>
    </w:p>
    <w:p>
      <w:pPr>
        <w:pStyle w:val="ListBullet"/>
        <w:spacing w:before="40" w:after="40" w:lineRule="auto" w:line="360"/>
      </w:pPr>
      <w:r>
        <w:rPr>
          <w:rFonts w:ascii="Times New Roman" w:hAnsi="Times New Roman" w:eastAsia="宋体"/>
          <w:b w:val="0"/>
          <w:sz w:val="22"/>
        </w:rPr>
        <w:t>CCLM 审稿周期 8–16 周</w:t>
      </w:r>
    </w:p>
    <w:p>
      <w:pPr>
        <w:pStyle w:val="ListBullet"/>
        <w:spacing w:before="40" w:after="40" w:lineRule="auto" w:line="360"/>
      </w:pPr>
      <w:r>
        <w:rPr>
          <w:rFonts w:ascii="Times New Roman" w:hAnsi="Times New Roman" w:eastAsia="宋体"/>
          <w:b w:val="0"/>
          <w:sz w:val="22"/>
        </w:rPr>
        <w:t>若接到"major revision"，</w:t>
      </w:r>
      <w:r>
        <w:rPr>
          <w:rFonts w:ascii="Times New Roman" w:hAnsi="Times New Roman" w:eastAsia="宋体"/>
          <w:b/>
          <w:sz w:val="22"/>
        </w:rPr>
        <w:t>修回时不要用 AI 改稿</w:t>
      </w:r>
      <w:r>
        <w:rPr>
          <w:rFonts w:ascii="Times New Roman" w:hAnsi="Times New Roman" w:eastAsia="宋体"/>
          <w:b w:val="0"/>
          <w:sz w:val="22"/>
        </w:rPr>
        <w:t>——用人类编辑服务</w:t>
      </w:r>
    </w:p>
    <w:p>
      <w:pPr>
        <w:pStyle w:val="ListBullet"/>
        <w:spacing w:before="40" w:after="40" w:lineRule="auto" w:line="360"/>
      </w:pPr>
      <w:r>
        <w:rPr>
          <w:rFonts w:ascii="Times New Roman" w:hAnsi="Times New Roman" w:eastAsia="宋体"/>
          <w:b w:val="0"/>
          <w:sz w:val="22"/>
        </w:rPr>
        <w:t>Response to reviewers 由你亲自写，我可辅助校对（同样遵守披露原则）</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