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引号内为修订稿原文，供审稿人直接核对。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are grateful to both reviewers. The two critiques addressed different aspects of the work: what LLM drafting means for accreditation, and how the paper reads. Both have had an important influence on this revision, substantially reshaping the manuscript.</w:t>
      </w:r>
    </w:p>
    <w:p>
      <w:pPr>
        <w:spacing w:before="80" w:after="80" w:lineRule="auto" w:line="360"/>
        <w:ind w:firstLine="0"/>
        <w:jc w:val="both"/>
      </w:pPr>
      <w:r>
        <w:rPr>
          <w:rFonts w:ascii="Times New Roman" w:hAnsi="Times New Roman" w:eastAsia="宋体"/>
          <w:b w:val="0"/>
          <w:i w:val="0"/>
          <w:sz w:val="24"/>
        </w:rPr>
        <w:t>A note on marking the changes. The revision touches nearly every section: the title is new, the main text is about 27% shorter, the Methods have been cut by more than 40%, all four figures have been redrawn, and the Limitations are now plain prose. Underlining what changed would leave almost the whole document underlined, so we have set out below what changed and where. We will gladly supply a marked copy if the editorial office prefers one.</w:t>
      </w:r>
    </w:p>
    <w:p>
      <w:pPr>
        <w:spacing w:before="80" w:after="80" w:lineRule="auto" w:line="360"/>
        <w:ind w:firstLine="0"/>
        <w:jc w:val="both"/>
      </w:pPr>
      <w:r>
        <w:rPr>
          <w:rFonts w:ascii="Times New Roman" w:hAnsi="Times New Roman" w:eastAsia="宋体"/>
          <w:b w:val="0"/>
          <w:i w:val="0"/>
          <w:sz w:val="24"/>
        </w:rPr>
        <w:t>Two further changes should be placed on record. The title now names what the study actually did, and the author list has grown from one to five: Lan Yang and Xinying Chen served as Raters 2 and 3 on the blinded panel, Dan Wu handled data curation, and Dongdong Li supervised the work and is corresponding author. Individual roles are given in the Author Contributions statement, and all five authors have read and approved this version.</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val="0"/>
          <w:i w:val="0"/>
          <w:sz w:val="24"/>
        </w:rPr>
        <w:t>The reviewer argues that ISO 15189 documentation is the tangible evidence that a laboratory operates in a controlled and competent way; that writing procedures is itself part of staff training, accountability, competence development and risk awareness; and that handing this work to AI would hollow out the accreditation process it is meant to support.</w:t>
      </w:r>
    </w:p>
    <w:p>
      <w:pPr>
        <w:spacing w:before="80" w:after="80" w:lineRule="auto" w:line="360"/>
        <w:ind w:firstLine="0"/>
        <w:jc w:val="both"/>
      </w:pPr>
      <w:r>
        <w:rPr>
          <w:rFonts w:ascii="Times New Roman" w:hAnsi="Times New Roman" w:eastAsia="宋体"/>
          <w:b w:val="0"/>
          <w:i w:val="0"/>
          <w:sz w:val="24"/>
        </w:rPr>
        <w:t>We agree, and we have rewritten the manuscript so that this is its position rather than a caveat inside it. We would add that our results make the same case from the data side: they show how far a well-formatted LLM draft can sit from actual compliance, and that only the human experts saw the difference.</w:t>
      </w:r>
    </w:p>
    <w:p>
      <w:pPr>
        <w:spacing w:before="80" w:after="80" w:lineRule="auto" w:line="360"/>
        <w:ind w:firstLine="0"/>
        <w:jc w:val="both"/>
      </w:pPr>
      <w:r>
        <w:rPr>
          <w:rFonts w:ascii="Times New Roman" w:hAnsi="Times New Roman" w:eastAsia="宋体"/>
          <w:b w:val="0"/>
          <w:i w:val="0"/>
          <w:sz w:val="24"/>
        </w:rPr>
        <w:t>Section 4.5 now states the constraint in the reviewer's own terms:</w:t>
      </w:r>
    </w:p>
    <w:p>
      <w:pPr>
        <w:spacing w:before="80" w:after="80" w:lineRule="auto" w:line="360"/>
        <w:ind w:firstLine="0"/>
        <w:jc w:val="both"/>
      </w:pP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p>
    <w:p>
      <w:pPr>
        <w:spacing w:before="80" w:after="80" w:lineRule="auto" w:line="360"/>
        <w:ind w:firstLine="0"/>
        <w:jc w:val="both"/>
      </w:pPr>
      <w:r>
        <w:rPr>
          <w:rFonts w:ascii="Times New Roman" w:hAnsi="Times New Roman" w:eastAsia="宋体"/>
          <w:b w:val="0"/>
          <w:i w:val="0"/>
          <w:sz w:val="24"/>
        </w:rPr>
        <w:t>This is consistent with the published consensus that LLMs in healthcare quality management belong in clerical tasks performed under mandatory human verification (reference [14]). The Conclusions now end on the same point:</w:t>
      </w:r>
    </w:p>
    <w:p>
      <w:pPr>
        <w:spacing w:before="80" w:after="80" w:lineRule="auto" w:line="360"/>
        <w:ind w:firstLine="0"/>
        <w:jc w:val="both"/>
      </w:pP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In the revised text, every configuration is described as producing a reference draft. A document becomes usable for accreditation only through the laboratory's own data, such as its quality-control records, its patient data distributions, and its proficiency-testing history. Competent staff have to enter and interpret all of it, whereas the model has access to none of it. Section 4.4 is now titled "Provisional configuration guidance", and every scenario in Table 4 ends with revision by laboratory staff and expert sign-off.</w:t>
      </w:r>
    </w:p>
    <w:p>
      <w:pPr>
        <w:spacing w:before="80" w:after="80" w:lineRule="auto" w:line="360"/>
        <w:ind w:firstLine="0"/>
        <w:jc w:val="both"/>
      </w:pPr>
      <w:r>
        <w:rPr>
          <w:rFonts w:ascii="Times New Roman" w:hAnsi="Times New Roman" w:eastAsia="宋体"/>
          <w:b w:val="0"/>
          <w:i w:val="0"/>
          <w:sz w:val="24"/>
        </w:rPr>
        <w:t>Our numbers support the concern. Both LLM judges rated compliance 0.52–0.90 points above the expert panel. The configuration the judges ranked first fell to fifth under expert review, only 0.16 points above a document produced with no prompt at all. The documents the judges overrated most were the ones that look right on the surface: correct structure, correct terminology, but no clinically grounded operational detail (Section 3.5). We are not proposing that LLMs replace laboratory staff. The study set out to find where the safe boundary lies, and the data put that boundary considerably further back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2.1 The paper is too dense to read; interpretive sentences are scattered among technical details; shorten it and emphasize the key points.</w:t>
      </w:r>
    </w:p>
    <w:p>
      <w:pPr>
        <w:spacing w:before="80" w:after="80" w:lineRule="auto" w:line="360"/>
        <w:ind w:firstLine="0"/>
        <w:jc w:val="both"/>
      </w:pPr>
      <w:r>
        <w:rPr>
          <w:rFonts w:ascii="Times New Roman" w:hAnsi="Times New Roman" w:eastAsia="宋体"/>
          <w:b w:val="0"/>
          <w:i w:val="0"/>
          <w:sz w:val="24"/>
        </w:rPr>
        <w:t>This was fair, and it drove the largest part of the revision. The main text is about 27% shorter than the version reviewed (roughly 7,500 to 5,500 words), with the Methods cut by more than 40%. Implementation detail moved to the Supplementary Material rather than being deleted, and every methodological statement is still made in the main text.</w:t>
      </w:r>
    </w:p>
    <w:p>
      <w:pPr>
        <w:spacing w:before="80" w:after="80" w:lineRule="auto" w:line="360"/>
        <w:ind w:firstLine="0"/>
        <w:jc w:val="both"/>
      </w:pPr>
      <w:r>
        <w:rPr>
          <w:rFonts w:ascii="Times New Roman" w:hAnsi="Times New Roman" w:eastAsia="宋体"/>
          <w:b w:val="0"/>
          <w:i w:val="0"/>
          <w:sz w:val="24"/>
        </w:rPr>
        <w:t>The Conclusions were cut hardest: 444 words became about 220, rewritten as one continuous argument that runs from the main finding through its practical consequences to our closing position. Each step now opens with a sentence that states it plainly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 The Limitations, previously an enumerated list, are now six paragraphs of prose. Redundant cross-references were pruned, and the remaining statistics all follow one bracket format. A small table on self-preference bias became a single sentence, and the per-dimension and per-task-class effects were consolidated into Table 2 instead of appearing scattered through the prose. The scoring rubric, previously a main-text table, moved to Supplementary Table S2; the four remaining tables carry the results, which also keeps the display items within the journal limit.</w:t>
      </w:r>
    </w:p>
    <w:p>
      <w:pPr>
        <w:spacing w:before="80" w:after="80" w:lineRule="auto" w:line="360"/>
        <w:ind w:firstLine="0"/>
        <w:jc w:val="both"/>
      </w:pPr>
      <w:r>
        <w:rPr>
          <w:rFonts w:ascii="Times New Roman" w:hAnsi="Times New Roman" w:eastAsia="宋体"/>
          <w:b/>
          <w:i w:val="0"/>
          <w:sz w:val="24"/>
        </w:rPr>
        <w:t>2.2 In the abstract it is not clear what C_full is; the explanation comes later.</w:t>
      </w:r>
    </w:p>
    <w:p>
      <w:pPr>
        <w:spacing w:before="80" w:after="80" w:lineRule="auto" w:line="360"/>
        <w:ind w:firstLine="0"/>
        <w:jc w:val="both"/>
      </w:pPr>
      <w:r>
        <w:rPr>
          <w:rFonts w:ascii="Times New Roman" w:hAnsi="Times New Roman" w:eastAsia="宋体"/>
          <w:b w:val="0"/>
          <w:i w:val="0"/>
          <w:sz w:val="24"/>
        </w:rPr>
        <w:t xml:space="preserve">The abstract now names it at first mention, as </w:t>
      </w:r>
      <w:r>
        <w:rPr>
          <w:rFonts w:ascii="Times New Roman" w:hAnsi="Times New Roman" w:eastAsia="宋体"/>
          <w:b w:val="0"/>
          <w:i/>
          <w:sz w:val="24"/>
        </w:rPr>
        <w:t>"the full-context C_full (~56,000 tokens)"</w:t>
      </w:r>
      <w:r>
        <w:rPr>
          <w:rFonts w:ascii="Times New Roman" w:hAnsi="Times New Roman" w:eastAsia="宋体"/>
          <w:b w:val="0"/>
          <w:i w:val="0"/>
          <w:sz w:val="24"/>
        </w:rPr>
        <w:t>, with the full definition still in Section 2.1.</w:t>
      </w:r>
    </w:p>
    <w:p>
      <w:pPr>
        <w:spacing w:before="80" w:after="80" w:lineRule="auto" w:line="360"/>
        <w:ind w:firstLine="0"/>
        <w:jc w:val="both"/>
      </w:pPr>
      <w:r>
        <w:rPr>
          <w:rFonts w:ascii="Times New Roman" w:hAnsi="Times New Roman" w:eastAsia="宋体"/>
          <w:b/>
          <w:i w:val="0"/>
          <w:sz w:val="24"/>
        </w:rPr>
        <w:t>2.3 The references at the start of the Introduction are misnumbered: the first is 7, the second 14.</w:t>
      </w:r>
    </w:p>
    <w:p>
      <w:pPr>
        <w:spacing w:before="80" w:after="80" w:lineRule="auto" w:line="360"/>
        <w:ind w:firstLine="0"/>
        <w:jc w:val="both"/>
      </w:pPr>
      <w:r>
        <w:rPr>
          <w:rFonts w:ascii="Times New Roman" w:hAnsi="Times New Roman" w:eastAsia="宋体"/>
          <w:b w:val="0"/>
          <w:i w:val="0"/>
          <w:sz w:val="24"/>
        </w:rPr>
        <w:t>Our mistake. The reference list has been renumbered from scratch. The Introduction now opens with [1] and [2], and the list contains 14 references numbered in order of first citation.</w:t>
      </w:r>
    </w:p>
    <w:p>
      <w:pPr>
        <w:spacing w:before="80" w:after="80" w:lineRule="auto" w:line="360"/>
        <w:ind w:firstLine="0"/>
        <w:jc w:val="both"/>
      </w:pPr>
      <w:r>
        <w:rPr>
          <w:rFonts w:ascii="Times New Roman" w:hAnsi="Times New Roman" w:eastAsia="宋体"/>
          <w:b/>
          <w:i w:val="0"/>
          <w:sz w:val="24"/>
        </w:rPr>
        <w:t>2.4 Figure 1 needs clarifying: C_full is longer yet seems to contain less material.</w:t>
      </w:r>
    </w:p>
    <w:p>
      <w:pPr>
        <w:spacing w:before="80" w:after="80" w:lineRule="auto" w:line="360"/>
        <w:ind w:firstLine="0"/>
        <w:jc w:val="both"/>
      </w:pPr>
      <w:r>
        <w:rPr>
          <w:rFonts w:ascii="Times New Roman" w:hAnsi="Times New Roman" w:eastAsia="宋体"/>
          <w:b w:val="0"/>
          <w:i w:val="0"/>
          <w:sz w:val="24"/>
        </w:rPr>
        <w:t>The reviewer identified a genuine ambiguity in the original design, and the figure has been rebuilt around it. The figure now separates two things: which components a configuration contains (included / partial / absent), and how long its prompt is. The caption says why the two do not match: the marks show whether distilled, structured content is present, while the bar shows how much raw text was loaded. C_full reaches the largest token count by loading the full raw reference corpus, yet its rules mark is only partial, because in that configuration the rules sit buried in raw text rather than being supplied as a distilled rule set.</w:t>
      </w:r>
    </w:p>
    <w:p>
      <w:pPr>
        <w:spacing w:before="80" w:after="80" w:lineRule="auto" w:line="360"/>
        <w:ind w:firstLine="0"/>
        <w:jc w:val="both"/>
      </w:pPr>
      <w:r>
        <w:rPr>
          <w:rFonts w:ascii="Times New Roman" w:hAnsi="Times New Roman" w:eastAsia="宋体"/>
          <w:b/>
          <w:i w:val="0"/>
          <w:sz w:val="24"/>
        </w:rPr>
        <w:t>2.5 Figure 3: seven colors in the legend, nine dots in the left panel, ten in the right; some colors duplicated, some missing.</w:t>
      </w:r>
    </w:p>
    <w:p>
      <w:pPr>
        <w:spacing w:before="80" w:after="80" w:lineRule="auto" w:line="360"/>
        <w:ind w:firstLine="0"/>
        <w:jc w:val="both"/>
      </w:pPr>
      <w:r>
        <w:rPr>
          <w:rFonts w:ascii="Times New Roman" w:hAnsi="Times New Roman" w:eastAsia="宋体"/>
          <w:b w:val="0"/>
          <w:i w:val="0"/>
          <w:sz w:val="24"/>
        </w:rPr>
        <w:t>The scatter plot has been replaced by a Bland–Altman analysis. Each panel now shows exactly the ten expert-reviewed documents, colored by four configuration families, with an open circle for the no-prompt baseline; the legend matches the marks used, and nothing is duplicated or missing. All four figures were redrawn with one colorblind-safe palette applied consistently.</w:t>
      </w:r>
    </w:p>
    <w:p>
      <w:pPr>
        <w:spacing w:before="80" w:after="80" w:lineRule="auto" w:line="360"/>
        <w:ind w:firstLine="0"/>
        <w:jc w:val="both"/>
      </w:pPr>
      <w:r>
        <w:rPr>
          <w:rFonts w:ascii="Times New Roman" w:hAnsi="Times New Roman" w:eastAsia="宋体"/>
          <w:b/>
          <w:i w:val="0"/>
          <w:sz w:val="24"/>
        </w:rPr>
        <w:t>2.6 Avoid deep technical detail unless it serves the reader; gather numbers into tables rather than scattering them in parentheses.</w:t>
      </w:r>
    </w:p>
    <w:p>
      <w:pPr>
        <w:spacing w:before="80" w:after="80" w:lineRule="auto" w:line="360"/>
        <w:ind w:firstLine="0"/>
        <w:jc w:val="both"/>
      </w:pPr>
      <w:r>
        <w:rPr>
          <w:rFonts w:ascii="Times New Roman" w:hAnsi="Times New Roman" w:eastAsia="宋体"/>
          <w:b w:val="0"/>
          <w:i w:val="0"/>
          <w:sz w:val="24"/>
        </w:rPr>
        <w:t>Done as part of the condensation above. Stratified and per-dimension effect estimates now sit in Table 2; document counts, model parameters and rating tallies are stated once in the Methods rather than repeated; and parenthetical numbers in the Discussion were removed except where a claim depends on them.</w:t>
      </w:r>
    </w:p>
    <w:p>
      <w:pPr>
        <w:spacing w:before="200" w:after="80" w:lineRule="auto" w:line="360"/>
        <w:jc w:val="left"/>
      </w:pPr>
      <w:r>
        <w:rPr>
          <w:rFonts w:ascii="Times New Roman" w:hAnsi="Times New Roman" w:eastAsia="宋体"/>
          <w:b/>
          <w:i w:val="0"/>
          <w:sz w:val="24"/>
        </w:rPr>
        <w:t>Other changes made during the revision</w:t>
      </w:r>
    </w:p>
    <w:p>
      <w:pPr>
        <w:spacing w:before="80" w:after="80" w:lineRule="auto" w:line="360"/>
        <w:ind w:firstLine="0"/>
        <w:jc w:val="both"/>
      </w:pPr>
      <w:r>
        <w:rPr>
          <w:rFonts w:ascii="Times New Roman" w:hAnsi="Times New Roman" w:eastAsia="宋体"/>
          <w:b w:val="0"/>
          <w:i w:val="0"/>
          <w:sz w:val="24"/>
        </w:rPr>
        <w:t>We also checked the manuscript against our released code and corrected the methodological reporting. The generation and judging parameters of both models are now stated exactly (Sections 2.2 and 2.3.2). The Claude judge's coverage, 378 document-level ratings or 77.8%, is explained: the judging ran in batches as the configuration set grew, and for some batches only group-level means were kept. Section 2.4.1 acknowledges that replicates sharing the same tasks are not fully independent, and Section 2.3.1 states where the automated scorer's weights come from.</w:t>
      </w:r>
    </w:p>
    <w:p>
      <w:pPr>
        <w:spacing w:before="80" w:after="80" w:lineRule="auto" w:line="360"/>
        <w:ind w:firstLine="0"/>
        <w:jc w:val="both"/>
      </w:pPr>
      <w:r>
        <w:rPr>
          <w:rFonts w:ascii="Times New Roman" w:hAnsi="Times New Roman" w:eastAsia="宋体"/>
          <w:b w:val="0"/>
          <w:i w:val="0"/>
          <w:sz w:val="24"/>
        </w:rPr>
        <w:t>An "Acknowledgment of AI tool use" section has been added to the manuscript, following the De Gruyter Brill AI Policy for Authors: AI as research object, AI as evaluator, AI-assisted drafting, figure integrity, and accountability. The public repository and archive have been updated to match this version (GitHub; Zenodo v1.1.0), and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Both reviewers have left the manuscript clearer and more honest about its limits, and we thank them for the time they gave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