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showed that the rules layer (Δ = +0.511, p &lt; 0.001) and the skeleton layer (Δ = +0.213, p = 0.055) contributed significantly or near-significantly at the LLM-judge tier; detailed content (Δ = −0.031, p = 0.79) and examples (Δ = −0.053, p = 0.46) contributed nothing or were mildly harmful.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Documents were renumbered as paper_01 to paper_10 in random order, with all group identifiers removed.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Between-group comparisons used the Kruskal–Wallis test and the Mann–Whitney U test, with Bonferroni correction applied for multiple comparisons. Four-factor effect sizes were estimated by two-way analysis of variance. Inter-rater agreement was assessed by Pearson correlation, Spearman correlation, and the ICC(2,1) (absolute agreement) and ICC(3,1) (consistency in ranking) defined by Shrout and Fleiss [13].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The main effect of the rules layer was +0.511 (p &lt; 0.001) and that of the skeleton layer was +0.213 (p = 0.055), both contributing positively (significantly or near-significantly) at the LLM-judge tier. Detailed content showed no contribution (G vs. H3: Δ = −0.031, p = 0.79), and examples showed a directional harm (H2 vs. G: Δ = −0.053, p = 0.46). H4 and H3 did not differ significantly (Δ = −0.009, p = 0.80),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rules and skeleton are necessary, while detailed content and examples contribute nothing or are even harmful.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