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lineRule="auto" w:line="360"/>
        <w:ind w:firstLine="0"/>
        <w:jc w:val="both"/>
      </w:pPr>
      <w:r>
        <w:rPr>
          <w:rFonts w:ascii="Times New Roman" w:hAnsi="Times New Roman" w:eastAsia="宋体"/>
          <w:b w:val="0"/>
          <w:i w:val="0"/>
          <w:sz w:val="24"/>
        </w:rPr>
        <w:t>3 August 2026</w:t>
      </w:r>
    </w:p>
    <w:p>
      <w:pPr>
        <w:spacing w:before="80" w:after="80" w:lineRule="auto" w:line="360"/>
        <w:ind w:firstLine="0"/>
        <w:jc w:val="both"/>
      </w:pPr>
      <w:r>
        <w:rPr>
          <w:rFonts w:ascii="Times New Roman" w:hAnsi="Times New Roman" w:eastAsia="宋体"/>
          <w:b w:val="0"/>
          <w:i w:val="0"/>
          <w:sz w:val="24"/>
        </w:rPr>
        <w:t>Dear Professor Plebani,</w:t>
      </w:r>
    </w:p>
    <w:p>
      <w:pPr>
        <w:spacing w:before="80" w:after="80" w:lineRule="auto" w:line="360"/>
        <w:ind w:firstLine="0"/>
        <w:jc w:val="both"/>
      </w:pPr>
      <w:r>
        <w:rPr>
          <w:rFonts w:ascii="Times New Roman" w:hAnsi="Times New Roman" w:eastAsia="宋体"/>
          <w:b w:val="0"/>
          <w:i w:val="0"/>
          <w:sz w:val="24"/>
        </w:rPr>
        <w:t xml:space="preserve">We are pleased to submit our original research manuscript entitled </w:t>
      </w:r>
      <w:r>
        <w:rPr>
          <w:rFonts w:ascii="Times New Roman" w:hAnsi="Times New Roman" w:eastAsia="宋体"/>
          <w:b/>
          <w:i w:val="0"/>
          <w:sz w:val="24"/>
        </w:rPr>
        <w:t>"Evaluating LLM-Assisted Drafting of ISO 15189 Quality Management Documents: Prompt Configuration, LLM-as-Judge Bias, and Exploratory Expert Validation"</w:t>
      </w:r>
      <w:r>
        <w:rPr>
          <w:rFonts w:ascii="Times New Roman" w:hAnsi="Times New Roman" w:eastAsia="宋体"/>
          <w:b w:val="0"/>
          <w:i w:val="0"/>
          <w:sz w:val="24"/>
        </w:rPr>
        <w:t xml:space="preserve"> for consideration for publication in </w:t>
      </w:r>
      <w:r>
        <w:rPr>
          <w:rFonts w:ascii="Times New Roman" w:hAnsi="Times New Roman" w:eastAsia="宋体"/>
          <w:b w:val="0"/>
          <w:i/>
          <w:sz w:val="24"/>
        </w:rPr>
        <w:t>Clinical Chemistry and Laboratory Medicine</w:t>
      </w:r>
      <w:r>
        <w:rPr>
          <w:rFonts w:ascii="Times New Roman" w:hAnsi="Times New Roman" w:eastAsia="宋体"/>
          <w:b w:val="0"/>
          <w:i w:val="0"/>
          <w:sz w:val="24"/>
        </w:rPr>
        <w:t>.</w:t>
      </w:r>
    </w:p>
    <w:p>
      <w:pPr>
        <w:spacing w:before="80" w:after="80" w:lineRule="auto" w:line="360"/>
        <w:ind w:firstLine="0"/>
        <w:jc w:val="both"/>
      </w:pPr>
      <w:r>
        <w:rPr>
          <w:rFonts w:ascii="Times New Roman" w:hAnsi="Times New Roman" w:eastAsia="宋体"/>
          <w:b w:val="0"/>
          <w:i w:val="0"/>
          <w:sz w:val="24"/>
        </w:rPr>
        <w:t>This manuscript is a revised version of our earlier submission to CCLM (Manuscript No. CCLM.2026.0735), which received a reject-and-resubmit decision. The present version has been extensively revised in response to the reviewers' comments – including corrected methodological reporting, a restructured Limitations section, redesigned figures, and substantially condensed text – and is accompanied by a point-by-point response.</w:t>
      </w:r>
    </w:p>
    <w:p>
      <w:pPr>
        <w:spacing w:before="80" w:after="80" w:lineRule="auto" w:line="360"/>
        <w:ind w:firstLine="0"/>
        <w:jc w:val="both"/>
      </w:pPr>
      <w:r>
        <w:rPr>
          <w:rFonts w:ascii="Times New Roman" w:hAnsi="Times New Roman" w:eastAsia="宋体"/>
          <w:b w:val="0"/>
          <w:i w:val="0"/>
          <w:sz w:val="24"/>
        </w:rPr>
        <w:t>Medical laboratories seeking ISO 15189 accreditation must produce on the order of 100–300 controlled quality management system (QMS) documents, a process that typically takes an in-house quality team several months. Large language models (LLMs) are increasingly used to accelerate this drafting, yet laboratories currently have no empirical evidence on how to prompt these models, nor on whether LLM-based scoring can be trusted to evaluate the output. Our study addresses both questions directly.</w:t>
      </w:r>
    </w:p>
    <w:p>
      <w:pPr>
        <w:spacing w:before="80" w:after="80" w:lineRule="auto" w:line="360"/>
        <w:ind w:firstLine="0"/>
        <w:jc w:val="both"/>
      </w:pPr>
      <w:r>
        <w:rPr>
          <w:rFonts w:ascii="Times New Roman" w:hAnsi="Times New Roman" w:eastAsia="宋体"/>
          <w:b w:val="0"/>
          <w:i w:val="0"/>
          <w:sz w:val="24"/>
        </w:rPr>
        <w:t>We generated 486 QMS documents across nine prompt configurations using two state-of-the-art LLMs, and evaluated them through a three-tier framework: an automated rule-based scorer, two LLM judges (864 ratings), and blinded review by three qualified ISO 15189 internal auditors. Three findings should be of practical interest to your readership:</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The "best" prompt configuration depends on who evaluates it.</w:t>
      </w:r>
      <w:r>
        <w:rPr>
          <w:rFonts w:ascii="Times New Roman" w:hAnsi="Times New Roman" w:eastAsia="宋体"/>
          <w:b w:val="0"/>
          <w:i w:val="0"/>
          <w:sz w:val="24"/>
        </w:rPr>
        <w:t xml:space="preserve"> Minimal prompts (~1,000–2,000 tokens) ranked first under LLM-based scoring but fell to fifth under expert review, whereas template-anchored prompts (~15,000–16,000 tokens) achieved the highest expert scores. Token efficiency and accreditation readiness are distinct optimization targets.</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LLM-as-judge systematically overestimates expert-rated compliance</w:t>
      </w:r>
      <w:r>
        <w:rPr>
          <w:rFonts w:ascii="Times New Roman" w:hAnsi="Times New Roman" w:eastAsia="宋体"/>
          <w:b w:val="0"/>
          <w:i w:val="0"/>
          <w:sz w:val="24"/>
        </w:rPr>
        <w:t xml:space="preserve"> by 0.52–0.90 points and shows model-dependent preference patterns incompatible with classical self-preference. LLM judges may serve as first-pass screening filters, but cannot substitute for expert review of documents intended for accreditation.</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More context is not safer.</w:t>
      </w:r>
      <w:r>
        <w:rPr>
          <w:rFonts w:ascii="Times New Roman" w:hAnsi="Times New Roman" w:eastAsia="宋体"/>
          <w:b w:val="0"/>
          <w:i w:val="0"/>
          <w:sz w:val="24"/>
        </w:rPr>
        <w:t xml:space="preserve"> A ~56,000-token full-context prompt collapsed under one generation model, with declining instruction-following and confused or fabricated clause citations – cautioning against the intuitive "load everything" strategy.</w:t>
      </w:r>
    </w:p>
    <w:p>
      <w:pPr>
        <w:spacing w:before="80" w:after="80" w:lineRule="auto" w:line="360"/>
        <w:ind w:firstLine="0"/>
        <w:jc w:val="both"/>
      </w:pPr>
      <w:r>
        <w:rPr>
          <w:rFonts w:ascii="Times New Roman" w:hAnsi="Times New Roman" w:eastAsia="宋体"/>
          <w:b w:val="0"/>
          <w:i w:val="0"/>
          <w:sz w:val="24"/>
        </w:rPr>
        <w:t>To our knowledge, this is the first systematic comparison of prompt configurations for ISO 15189 document drafting with quantification of LLM-judge bias against expert validation. The provisional, scenario-stratified configuration guidance we provide is immediately usable by laboratories adopting LLM-assisted drafting under mandatory human verification.</w:t>
      </w:r>
    </w:p>
    <w:p>
      <w:pPr>
        <w:spacing w:before="80" w:after="80" w:lineRule="auto" w:line="360"/>
        <w:ind w:firstLine="0"/>
        <w:jc w:val="both"/>
      </w:pPr>
      <w:r>
        <w:rPr>
          <w:rFonts w:ascii="Times New Roman" w:hAnsi="Times New Roman" w:eastAsia="宋体"/>
          <w:b w:val="0"/>
          <w:i w:val="0"/>
          <w:sz w:val="24"/>
        </w:rPr>
        <w:t>All generated documents, LLM-judge ratings, expert ratings, and analysis code are openly available on GitHub (https://github.com/stttttte/iso15189-llm-config-experiment) and archived on Zenodo (DOI: 10.5281/zenodo.20091463). The study involved no patient data; written informed consent was obtained from the two participating raters who are co-authors. The authors declare no competing interests and no relationships with any LLM provider. The manuscript is original, has not been published previously, and is not under consideration by any other journal. All authors have read and approved the submission.</w:t>
      </w:r>
    </w:p>
    <w:p>
      <w:pPr>
        <w:spacing w:before="80" w:after="80" w:lineRule="auto" w:line="360"/>
        <w:ind w:firstLine="0"/>
        <w:jc w:val="both"/>
      </w:pPr>
      <w:r>
        <w:rPr>
          <w:rFonts w:ascii="Times New Roman" w:hAnsi="Times New Roman" w:eastAsia="宋体"/>
          <w:b/>
          <w:i w:val="0"/>
          <w:sz w:val="24"/>
        </w:rPr>
        <w:t>Suggested reviewers.</w:t>
      </w:r>
      <w:r>
        <w:rPr>
          <w:rFonts w:ascii="Times New Roman" w:hAnsi="Times New Roman" w:eastAsia="宋体"/>
          <w:b w:val="0"/>
          <w:i w:val="0"/>
          <w:sz w:val="24"/>
        </w:rPr>
        <w:t xml:space="preserve"> We respectfully suggest the following specialists with relevant expertise in laboratory QMS, ISO 15189, and/or LLM evaluation:</w:t>
      </w:r>
    </w:p>
    <w:p>
      <w:pPr>
        <w:spacing w:before="80" w:after="80" w:lineRule="auto" w:line="360"/>
        <w:ind w:firstLine="0"/>
        <w:jc w:val="both"/>
      </w:pPr>
      <w:r>
        <w:rPr>
          <w:rFonts w:ascii="Times New Roman" w:hAnsi="Times New Roman" w:eastAsia="宋体"/>
          <w:b w:val="0"/>
          <w:i w:val="0"/>
          <w:sz w:val="24"/>
        </w:rPr>
        <w:t xml:space="preserve">1. </w:t>
      </w:r>
      <w:r>
        <w:rPr>
          <w:rFonts w:ascii="Times New Roman" w:hAnsi="Times New Roman" w:eastAsia="宋体"/>
          <w:b/>
          <w:i w:val="0"/>
          <w:sz w:val="24"/>
        </w:rPr>
        <w:t>Dr. Hikmet Can Çubukçu, MD, Assoc. Prof.</w:t>
      </w:r>
      <w:r>
        <w:rPr>
          <w:rFonts w:ascii="Times New Roman" w:hAnsi="Times New Roman" w:eastAsia="宋体"/>
          <w:b w:val="0"/>
          <w:i w:val="0"/>
          <w:sz w:val="24"/>
        </w:rPr>
        <w:t xml:space="preserve"> – Rare Diseases Department, General Directorate of Health Services, Turkish Ministry of Health, Ankara, Türkiye. Email: hikmetcancubukcu@gmail.com. ORCID: 0000-0001-5321-9354. </w:t>
      </w:r>
      <w:r>
        <w:rPr>
          <w:rFonts w:ascii="Times New Roman" w:hAnsi="Times New Roman" w:eastAsia="宋体"/>
          <w:b w:val="0"/>
          <w:i/>
          <w:sz w:val="24"/>
        </w:rPr>
        <w:t>Expertise: ISO 15189:2022 (co-author of the EFLM Working Group on Accreditation revision-analysis paper, CCLM 2025) and AI in laboratory medicine.</w:t>
      </w:r>
    </w:p>
    <w:p>
      <w:pPr>
        <w:spacing w:before="80" w:after="80" w:lineRule="auto" w:line="360"/>
        <w:ind w:firstLine="0"/>
        <w:jc w:val="both"/>
      </w:pPr>
      <w:r>
        <w:rPr>
          <w:rFonts w:ascii="Times New Roman" w:hAnsi="Times New Roman" w:eastAsia="宋体"/>
          <w:b w:val="0"/>
          <w:i w:val="0"/>
          <w:sz w:val="24"/>
        </w:rPr>
        <w:t xml:space="preserve">2. </w:t>
      </w:r>
      <w:r>
        <w:rPr>
          <w:rFonts w:ascii="Times New Roman" w:hAnsi="Times New Roman" w:eastAsia="宋体"/>
          <w:b/>
          <w:i w:val="0"/>
          <w:sz w:val="24"/>
        </w:rPr>
        <w:t>Dr. Tze Ping Loh</w:t>
      </w:r>
      <w:r>
        <w:rPr>
          <w:rFonts w:ascii="Times New Roman" w:hAnsi="Times New Roman" w:eastAsia="宋体"/>
          <w:b w:val="0"/>
          <w:i w:val="0"/>
          <w:sz w:val="24"/>
        </w:rPr>
        <w:t xml:space="preserve"> – Department of Laboratory Medicine, National University Hospital, Singapore. Email: Tze_ping_loh@nuhs.edu.sg. </w:t>
      </w:r>
      <w:r>
        <w:rPr>
          <w:rFonts w:ascii="Times New Roman" w:hAnsi="Times New Roman" w:eastAsia="宋体"/>
          <w:b w:val="0"/>
          <w:i/>
          <w:sz w:val="24"/>
        </w:rPr>
        <w:t>Expertise: machine learning and AI applications in clinical chemistry; patient-based real-time quality control; frequent CCLM author.</w:t>
      </w:r>
    </w:p>
    <w:p>
      <w:pPr>
        <w:spacing w:before="80" w:after="80" w:lineRule="auto" w:line="360"/>
        <w:ind w:firstLine="0"/>
        <w:jc w:val="both"/>
      </w:pPr>
      <w:r>
        <w:rPr>
          <w:rFonts w:ascii="Times New Roman" w:hAnsi="Times New Roman" w:eastAsia="宋体"/>
          <w:b w:val="0"/>
          <w:i w:val="0"/>
          <w:sz w:val="24"/>
        </w:rPr>
        <w:t xml:space="preserve">3. </w:t>
      </w:r>
      <w:r>
        <w:rPr>
          <w:rFonts w:ascii="Times New Roman" w:hAnsi="Times New Roman" w:eastAsia="宋体"/>
          <w:b/>
          <w:i w:val="0"/>
          <w:sz w:val="24"/>
        </w:rPr>
        <w:t>Prof. Marc H. M. Thelen</w:t>
      </w:r>
      <w:r>
        <w:rPr>
          <w:rFonts w:ascii="Times New Roman" w:hAnsi="Times New Roman" w:eastAsia="宋体"/>
          <w:b w:val="0"/>
          <w:i w:val="0"/>
          <w:sz w:val="24"/>
        </w:rPr>
        <w:t xml:space="preserve"> – Foundation for Quality Assessment in Medical Laboratories (SKML) and Department of Laboratory Medicine, Radboud University Medical Center, Nijmegen, The Netherlands. Email: mthelen@skml.nl. </w:t>
      </w:r>
      <w:r>
        <w:rPr>
          <w:rFonts w:ascii="Times New Roman" w:hAnsi="Times New Roman" w:eastAsia="宋体"/>
          <w:b w:val="0"/>
          <w:i/>
          <w:sz w:val="24"/>
        </w:rPr>
        <w:t>Expertise: ISO 15189 accreditation and metrological traceability; core member of the EFLM Working Group on Accreditation and ISO/CEN Standards.</w:t>
      </w:r>
    </w:p>
    <w:p>
      <w:pPr>
        <w:spacing w:before="80" w:after="80" w:lineRule="auto" w:line="360"/>
        <w:ind w:firstLine="0"/>
        <w:jc w:val="both"/>
      </w:pPr>
      <w:r>
        <w:rPr>
          <w:rFonts w:ascii="Times New Roman" w:hAnsi="Times New Roman" w:eastAsia="宋体"/>
          <w:b w:val="0"/>
          <w:i w:val="0"/>
          <w:sz w:val="24"/>
        </w:rPr>
        <w:t>Thank you for your consideration. We look forward to your response.</w:t>
      </w:r>
    </w:p>
    <w:p>
      <w:pPr>
        <w:spacing w:before="80" w:after="80" w:lineRule="auto" w:line="360"/>
        <w:ind w:firstLine="0"/>
        <w:jc w:val="both"/>
      </w:pPr>
      <w:r>
        <w:rPr>
          <w:rFonts w:ascii="Times New Roman" w:hAnsi="Times New Roman" w:eastAsia="宋体"/>
          <w:b w:val="0"/>
          <w:i w:val="0"/>
          <w:sz w:val="24"/>
        </w:rPr>
        <w:t>Sincerely,</w:t>
      </w:r>
    </w:p>
    <w:p>
      <w:pPr>
        <w:spacing w:before="80" w:after="80" w:lineRule="auto" w:line="360"/>
        <w:ind w:firstLine="0"/>
        <w:jc w:val="both"/>
      </w:pPr>
      <w:r>
        <w:rPr>
          <w:rFonts w:ascii="Times New Roman" w:hAnsi="Times New Roman" w:eastAsia="宋体"/>
          <w:b/>
          <w:i w:val="0"/>
          <w:sz w:val="24"/>
        </w:rPr>
        <w:t>Dongdong Li</w:t>
      </w:r>
      <w:r>
        <w:rPr>
          <w:rFonts w:ascii="Times New Roman" w:hAnsi="Times New Roman" w:eastAsia="宋体"/>
          <w:b w:val="0"/>
          <w:i w:val="0"/>
          <w:sz w:val="24"/>
        </w:rPr>
        <w:t>, on behalf of all authors</w:t>
      </w:r>
    </w:p>
    <w:p>
      <w:pPr>
        <w:spacing w:before="80" w:after="80" w:lineRule="auto" w:line="360"/>
        <w:ind w:firstLine="0"/>
        <w:jc w:val="both"/>
      </w:pPr>
      <w:r>
        <w:rPr>
          <w:rFonts w:ascii="Times New Roman" w:hAnsi="Times New Roman" w:eastAsia="宋体"/>
          <w:b w:val="0"/>
          <w:i w:val="0"/>
          <w:sz w:val="24"/>
        </w:rPr>
        <w:t>Department of Laboratory Medicine, West China Hospital, Sichuan University</w:t>
      </w:r>
    </w:p>
    <w:p>
      <w:pPr>
        <w:spacing w:before="80" w:after="80" w:lineRule="auto" w:line="360"/>
        <w:ind w:firstLine="0"/>
        <w:jc w:val="both"/>
      </w:pPr>
      <w:r>
        <w:rPr>
          <w:rFonts w:ascii="Times New Roman" w:hAnsi="Times New Roman" w:eastAsia="宋体"/>
          <w:b w:val="0"/>
          <w:i w:val="0"/>
          <w:sz w:val="24"/>
        </w:rPr>
        <w:t>Sichuan Clinical Research Center for Laboratory Medicine</w:t>
      </w:r>
    </w:p>
    <w:p>
      <w:pPr>
        <w:spacing w:before="80" w:after="80" w:lineRule="auto" w:line="360"/>
        <w:ind w:firstLine="0"/>
        <w:jc w:val="both"/>
      </w:pPr>
      <w:r>
        <w:rPr>
          <w:rFonts w:ascii="Times New Roman" w:hAnsi="Times New Roman" w:eastAsia="宋体"/>
          <w:b w:val="0"/>
          <w:i w:val="0"/>
          <w:sz w:val="24"/>
        </w:rPr>
        <w:t>Chengdu, Sichuan, PR China</w:t>
      </w:r>
    </w:p>
    <w:p>
      <w:pPr>
        <w:spacing w:before="80" w:after="80" w:lineRule="auto" w:line="360"/>
        <w:ind w:firstLine="0"/>
        <w:jc w:val="both"/>
      </w:pPr>
      <w:r>
        <w:rPr>
          <w:rFonts w:ascii="Times New Roman" w:hAnsi="Times New Roman" w:eastAsia="宋体"/>
          <w:b w:val="0"/>
          <w:i w:val="0"/>
          <w:sz w:val="24"/>
        </w:rPr>
        <w:t>Email: jiangxili1219@163.com</w:t>
      </w:r>
    </w:p>
    <w:p>
      <w:pPr>
        <w:spacing w:before="80" w:after="80" w:lineRule="auto" w:line="360"/>
        <w:ind w:firstLine="0"/>
        <w:jc w:val="both"/>
      </w:pPr>
      <w:r>
        <w:rPr>
          <w:rFonts w:ascii="Times New Roman" w:hAnsi="Times New Roman" w:eastAsia="宋体"/>
          <w:b w:val="0"/>
          <w:i w:val="0"/>
          <w:sz w:val="24"/>
        </w:rPr>
        <w:t>ORCID: 0000-0002-0290-6485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