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what LLM drafting means for accreditation, and how the paper reads. Both have had an important influence on this revision, substantially reshaping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further changes should be placed on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In the revised text, every configuration is described as producing a reference draft. A document becomes usable for accreditation only through the laboratory's own data, such as its quality-control records, its patient data distributions, and its proficiency-testing history. Competent staff have to enter and interpret all of it, whereas the model has access to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The documents the judges overrated most were the ones that look right on the surface: correct structure, correct terminology, but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cut hardest: 444 words became about 220, rewritten as one continuous argument that runs from the main finding through its practical consequences to our closing position. Each step now opens with a sentence that states it plainly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as </w:t>
      </w:r>
      <w:r>
        <w:rPr>
          <w:rFonts w:ascii="Times New Roman" w:hAnsi="Times New Roman" w:eastAsia="宋体"/>
          <w:b w:val="0"/>
          <w:i/>
          <w:sz w:val="24"/>
        </w:rPr>
        <w:t>"the full-context C_full (~56,000 tokens)"</w:t>
      </w:r>
      <w:r>
        <w:rPr>
          <w:rFonts w:ascii="Times New Roman" w:hAnsi="Times New Roman" w:eastAsia="宋体"/>
          <w:b w:val="0"/>
          <w:i w:val="0"/>
          <w:sz w:val="24"/>
        </w:rPr>
        <w:t>,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The figure now separates two things: which components a configuration contains (included / partial / absent), and how long its prompt is. The caption says why the two do not match: the marks show whether distilled, structured content is present, while the bar shows how much raw text was loaded.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378 document-level ratings or 77.8%,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