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bootstrap 95% CI, B = 10,000) showed that, at the LLM-judge tier, only the rules layer reached significance (Δ = +0.511, 95% CI [+0.28, +0.75]; BH-adjusted p &lt; 0.001); the skeleton layer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E_rules_v2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 (Claude) and −0.30 (GPT), preserving the sign and ordering of the classical estimates (+0.46 and −0.47)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E_rules_v2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 BH-adjusted p, and 95% bootstrap CIs (B = 10,000, seed = 42). The rules layer was the only factor reaching significance after correction (Δ = +0.511; 95% CI [+0.28, +0.75]; raw p &lt; 0.001; BH-adjusted p &lt; 0.001). The skeleton layer (Δ = +0.213; 95% CI [+0.05, +0.39]; raw p = 0.055; BH-adjusted p = 0.11) showed a directional positive effect; although the CI excludes zero, the BH-adjusted p does not reach the 0.05 threshold (the discrepancy reflects that the CI is computed on simple mean differences whereas the rank-based Mann–Whitney test was used for inference). We therefore interpret skeleton as suggestive evidence requiring replication. Detailed content (G vs. H3: Δ = −0.031; 95% CI [−0.19, +0.12]; raw p = 0.79; BH-adjusted p = 0.79) and examples (H2 vs. G: Δ = −0.053; 95% CI [−0.21, +0.11];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E_rules_v2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E_rules_v2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E_rules_v2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