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prompt-content dimensions (rules, skeleton, detailed content, and examples; rules and skeleton at three levels, detailed content and examples binary) 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substitution-contrast ablation (Benjamini–Hochberg FDR-adjusted; bootstrap 95% CI, B = 10,000) showed that, at the LLM-judge tier, only the rules layer reached significance (Δ = +0.511, 95% CI [+0.28, +0.75]; BH-adjusted p &lt; 0.001); the skeleton layer (Δ = +0.213, 95% CI [+0.05, +0.39]; BH-adjusted p = 0.11), detailed content (Δ = −0.031, 95% CI [−0.19, +0.12]; BH-adjusted p = 0.79), and examples (Δ = −0.053, 95% CI [−0.21, +0.11]; BH-adjusted p = 0.61) did not. (2) The full-context configuration C_full (56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 K skeleton), ranked second-to-last under expert evaluation (3.20, n = 2), whereas template-based configurations F_template (15 K), H2_keep_examples (25 K), and G_template_rules (16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(2 K) or E_rules_v2 (3 K); scenarios involving formal submission and CNAS accreditation application should adopt G_template_rules (16 K) or F_template (15 K). C_full (56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layer;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core configurations × Class A procedure-document tasks (A1, A2, A3) — yielding a 21-stratum frame.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+0.29 (Claude) and −0.30 (GPT), preserving the sign and ordering of the classical estimates (+0.46 and −0.47)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(2 K) first (0.994), H3_skeleton (5 K) second, G_template_rules (16 K) third, H2_keep_examples (25 K) fourth, E_rules_v2 (1.2 K) fifth, C_full (56 K) sixth, F_template (15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 BH-adjusted p, and 95% bootstrap CIs (B = 10,000, seed = 42). The rules layer was the only factor reaching significance after correction (Δ = +0.511; 95% CI [+0.28, +0.75]; raw p &lt; 0.001; BH-adjusted p &lt; 0.001). The skeleton layer (Δ = +0.213; 95% CI [+0.05, +0.39]; raw p = 0.055; BH-adjusted p = 0.11) showed a directional positive effect; although the CI excludes zero, the BH-adjusted p does not reach the 0.05 threshold (the discrepancy reflects that the CI is computed on simple mean differences whereas the rank-based Mann–Whitney test was used for inference). We therefore interpret skeleton as suggestive evidence requiring replication. Detailed content (G vs. H3: Δ = −0.031; 95% CI [−0.19, +0.12]; raw p = 0.79; BH-adjusted p = 0.79) and examples (H2 vs. G: Δ = −0.053; 95% CI [−0.21, +0.11]; raw p = 0.46; BH-adjusted p = 0.61) showed no statistical contribution. H4 and H3 did not differ (Δ = −0.009, raw p = 0.80; this contrast is descriptive and lies outside the four-factor BH set, hence reported uncorrected), suggesting that the task-specific SOP skeleton (2 K) and the full module skeleton (5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E_rules_v2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E_rules_v2 3.19 (n = 1) sixth, A_bare 3.04 (n = 1) seventh. The first-ranked configuration at the LLM-judge tier (H4_sop_only, 2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(2 K) and then descends, collapsing at C_full; the expert curve peaks at the F/G template region (15–16 K) at 4.24 but reaches only 3.20 at H4 (2 K). The three curves diverge most prominently in the 2–5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2–5 K while experts prefer 15–25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 (xiii) Claude Code Agent wrapper: Claude Opus 4.6 generation and Claude-judge ratings were performed via Claude Code's Agent tool rather than through a direct Anthropic REST SDK call. The Claude Code framework adds a constant framework-level system prompt (tool definitions and file-system guidance) on top of each configured QMS-generation or judge prompt; the absolute prompt length seen by the model is therefore larger than the per-configuration token counts reported in §2.1. Because this framework overhead is identical across all 9 configurations and across all judging calls, between-configuration relative comparisons and the relative judge–expert agreement findings remain valid; however, exact reproduction of absolute scores requires the same Claude Code version, and re-running the same configurations through a direct Anthropic SDK call may yield slightly different absolute scores. (xiv) AIHubMix routing not independently audited: GPT-5.4 was accessed via the AIHubMix proxy endpoint, which advertises transparent forwarding to the upstream OpenAI API. We did not independently verify response equivalence against direct OpenAI calls; subtle routing-level differences (request batching, header handling) cannot be ruled out, although the GPT-5.4 model identifier was preserved end-to-end. (xv) Temperature setting: all generations used temperature = 1.0 to reflect realistic interactive use. This introduces stochastic variance (mitigated by the 3 replicates per cell), but reduces strict bit-level reproducibility; future studies seeking deterministic comparison should re-run with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 K) achieves the highest composite score; under expert evaluation, F_template (15 K), H2_keep_examples (25 K), and G_template_rules (16 K) tie at the top (mean 4.06–4.24), with H4 ranked second-to-last. Scenarios prioritizing token efficiency and cost control should adopt H4 or E_rules_v2 (1–2 K); scenarios requiring formal submission and CNAS accreditation application should adopt G or F (15–16 K); C_full (56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