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校正；bootstrap 95% CI，B = 10,000）显示，LLM 评估层下仅规则层达到显著（Δ=+0.511，95% CI [+0.28, +0.75]；BH-adjusted p&lt;0.001）；骨架层（Δ=+0.213，95% CI [+0.05, +0.39]；BH-adjusted p=0.11）、详细内容（Δ=−0.031，95% CI [−0.19, +0.12]；BH-adjusted p=0.79）与示例（Δ=−0.053，95% CI [−0.21, +0.11]；BH-adjusted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E_rules_v2（3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依据规则、文档骨架、详细内容、示例 4 个 prompt 内容维度进行系统替换，按各维度操作定义所相关的水平变化（规则与文档骨架为三水平：缺失 / 部分 / 完整；详细内容与示例为二水平：缺失 / 存在），设计 9 组对照配置（Figure 1）。其中 A_bare（0 K）与 B_simple（0.3 K）为基线；C_full（56 K）代表全量输入策略；E_rules_v2（1.2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 接口（Anthropic 的命令行 agent 框架）以文本生成模式运行：sub-agent 仅返回文本回复，文件生成阶段未发生任何 agentic 工具调用（文件系统、网络访问、代码执行），但 Claude Code 框架自带的工具定义始终存在于 framework 级 system prompt 中（详见 §4.5 局限性 xiii）。模型测试跨越 9 组 prompt 配置、15 项 QMS 编写任务、每元胞 3 次独立重复，共生成 405 份文件。15 项任务按 CNAS 评审场景分层为三类，每类 5 项：A 类（文件编写，例如人员培训与能力评估控制程序）、B 类（体系运行，例如年度内审检查表）、C 类（审核模拟，例如内部质控程序文件审查报告）。完整任务列表与原始 prompt 已公开于 GitHub 仓库 task_messages/ 与 configs/ 目录。跨模型验证采用 GPT-5.4（OpenAI，美国加州 San Francisco），通过官方 openai Python SDK（v2.30.0）调用，base URL 配置为 AIHubMix 端点（https://aihubmix.com）；采用此路由是因研究期间作者所在地区无法直接访问 OpenAI API。（输出目录沿用早期脚本迭代时的 gpt4o_* 前缀命名，所有调用的实际运行 model 均为 GPT-5.4，由 SDK model 参数传入。）GPT-5.4 在相同 9 组配置下评估，每类各取一个代表性任务（A1、B1、C1，定义为各类按索引的第一个任务），3 次重复，共生成 81 份文件。两模型在每个实验元胞内接收完全相同的 system prompt 配置，并使用完全相同的生成参数：temperature = 1.0、max_tokens = 12,000；所有其他生成参数采用模型默认值。较高的采样温度选择是为反映真实交互使用场景；为捕捉由此引入的随机性方差，每元胞设 3 次独立重复。所有 API 调用执行于 2026 年 4 月 2 日至 4 月 14 日之间。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合规性通过互补的三层框架进行评估：基于规则的自动评分器（Tier 1）、双 LLM-as-judge 评审（Tier 2a 与 2b）、独立盲化专家评审（Tier 3）。三个层次的评分均使用统一的 0–5 整数尺度；Tier 1 采用为可由代码可靠检测的特征定制的算法量规，而 Tier 2 与 Tier 3 共用 Table 2 定义的描述性五维度量规。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2.3.1 Tier 1 — 自动合规评分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Python 自动合规评分器（auto_scorer.py，已开源；详见 Data availability）对全部 486 份文件按</w:t>
      </w:r>
      <w:r>
        <w:rPr>
          <w:rFonts w:ascii="Times New Roman" w:hAnsi="Times New Roman" w:eastAsia="宋体"/>
          <w:b/>
          <w:sz w:val="22"/>
        </w:rPr>
        <w:t>三个主要维度</w:t>
      </w:r>
      <w:r>
        <w:rPr>
          <w:rFonts w:ascii="Times New Roman" w:hAnsi="Times New Roman" w:eastAsia="宋体"/>
          <w:b w:val="0"/>
          <w:sz w:val="22"/>
        </w:rPr>
        <w:t>评分，并合成为加权综合分。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段；B 类检查表/报告 6 段；C 类审查报告 7 段；接受常见同义变体），结合编号层级深度与空章节检测。缺失 ≥3 段记 1 分，缺失恰好 1 段记 3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字符上下文窗口过滤误匹配。引用 ≥10 个独立条款且至少 1 处引用 CNAS-CL02:2023 记 5 分；无标准引用记 1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：本维度内部聚合两类互补检查。(i) *术语映射*：基于 ISO 15189:2022 / CNAS-CL02:2023 校验的 14 条术语对照表（如"分析前过程"→"检验前过程"、"标本"→"样品"、"不确定度"→"测量不确定度"），并配合上下文排除规则避免合理用法误判（例如"测量不确定度"中的"不确定度"不计违规）。(ii) *模糊表述检测*：检测低质量 QMS 文稿中常见的模糊词，如"及时"、"相关人员"、"定期"，经复合词白名单与后续 30 字符内频率量化（如出现"每周"、"每年"则不计）双重过滤。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：三个测量维度按 auto_scorer.py 中 WEIGHTS 字典定义的固定权重合成为加权综合分（auto_weighted）：格式 = 0.18，条款覆盖 = 0.22，术语 = 0.13（合计 0.53）。该字典另含四项来自原 7 维设计方案的条目——逻辑一致性 = 0.18、可操作性 = 0.10、安全合规性 = 0.09、人工修改量 = 0.10（合计 0.47），但在当前评分器中未实现；这四个维度对每份文件均填入中性默认值 3.0，对每个 auto_weighted 值均贡献恒定偏移 0.47 × 3.0 = 1.41。全部权重合计为 1.00，因此 auto_weighted 的理论范围为 [1.41, 4.06]。由于此恒定偏移对每份文件均一致，在所有配置间比较中相互抵消，不影响 §3 报告的相对排序。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 LLM 评审员部署于 2 × 2 对称跨模型设计——Claude-生成 × Claude-judge、Claude-生成 × GPT-judge、GPT-生成 × Claude-judge、GPT-生成 × GPT-judge——以正交分解自评偏差。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2a（Claude-as-judge）</w:t>
      </w:r>
      <w:r>
        <w:rPr>
          <w:rFonts w:ascii="Times New Roman" w:hAnsi="Times New Roman" w:eastAsia="宋体"/>
          <w:b w:val="0"/>
          <w:sz w:val="22"/>
        </w:rPr>
        <w:t>：Claude Opus 4.6 以"CNAS 主任评审员"角色 prompt（即 gpt_cnas_judge.py 中定义的 JUDGE_PROMPT_TEMPLATE，与 Tier 2b 完全一致）对每份文件按五维度量规（Table 2）以 0–5 分评分。生成参数：temperature = 1.0、max_tokens = 4,096；每份文件经单次 API 调用得到 1 次评分。共生成 378 条 Claude-judge 评分，分布如下：270 条覆盖 6 个核心配置（A_bare、B_simple、C_full、E_rules_v2、F_template、G_template_rules）× 15 任务 × 3 重复的 Claude-生成文件（每篇 raw JSON 完整公开）；81 条覆盖全部 9 配置 × A1/B1/C1 × 3 重复的 GPT-生成文件（仅以聚合均值归档，详见 §4.5 局限性 x）；27 条覆盖 H 组配置（H2_keep_examples、H3_skeleton、H4_sop_only）× A1/B1/C1 × 3 重复的 Claude-生成文件（同样仅以聚合均值归档）。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2b（GPT-as-judge）</w:t>
      </w:r>
      <w:r>
        <w:rPr>
          <w:rFonts w:ascii="Times New Roman" w:hAnsi="Times New Roman" w:eastAsia="宋体"/>
          <w:b w:val="0"/>
          <w:sz w:val="22"/>
        </w:rPr>
        <w:t>：GPT-5.4，按 §2.2 所述通过 AIHubMix 端点接入，使用与 Tier 2a 完全相同的 prompt、量规与 0–5 分评分尺度，生成参数同样为 temperature = 1.0、max_tokens = 4,096。全部 486 份生成文件均被评分（405 Claude-生成 + 81 GPT-生成），每份 1 次评分；per-paper raw JSON 完整保留并公开。已验证 max_tokens 上限未导致评审输出截断：486 份 GPT-judge per-paper JSON 全部成功解析（0 解析错误），且两位评审员的 per-dimension reason 字段最长为 43 字符，仍处于 prompt 所设的40 字软上限内，远低于 4,096 token 的输出预算。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合计 Tier 2a 与 2b 共得 864 条 LLM 评审评分（378 条 Claude-judge + 486 条 GPT-judge）。非对称的评分数反映 Claude 评审未覆盖 H 组完整 15 任务子集及完整 GPT-生成集（详见 §4.5 局限性 x）；关键的是，所有 4 个 2 × 2 象限均有评分填充（部分仅以聚合均值形式，详见 §4.5 局限性 x），保证自评偏差分解可在 cell 均值层面进行。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整数评分：5 = 完全符合（Table 2 的 5 分锚点）；4 = 基本符合（介于 5 分与 3 分锚点之间，仅有少量瑕疵）；3 = 部分符合（3 分锚点）；2 = 明显不符（介于 3 分与 1 分锚点之间）；1 = 严重不符（1 分锚点）；0 = 维度不可评估——文件实质性缺失或非实质性输出（例如模型仅返回计划性问询而未生成所需文件）。下表 5/3/1 分锚点描述以完全相同的措辞同时提供给所有评审员（LLM 与人类专家）；中间分数（2、4）由评分员在两个相邻锚点之间判定。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2.</w:t>
      </w:r>
      <w:r>
        <w:rPr>
          <w:rFonts w:ascii="Times New Roman" w:hAnsi="Times New Roman" w:eastAsia="宋体"/>
          <w:b w:val="0"/>
          <w:sz w:val="22"/>
        </w:rPr>
        <w:t xml:space="preserve"> Tier 2a/2b 与 Tier 3 共用的五维度描述性量规。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 ISO 15189 资格内审员对 10 份盲化、分层随机抽样的文件进行独立评分，采用与 LLM 评审员完全相同的五维度量规（Table 2）。Rater 1 为第一作者，具有先前的 ISO 15189 认可评审经验；Rater 2 与 Rater 3 为同单位合格 ISO 15189 内审员。为最小化自我影响，Rater 1 在完成评分前未查看任何 Tier 1 或 Tier 2 评分输出；Rater 1 仅在三位评分员的评分表全部提交后方查阅抽样文件的 Tier 1/2 输出。三位评分员独立评分且互不交流；Rater 2 与 Rater 3 在不知晓 Rater 1 评分的情况下完成评分，三组评分仅在所有提交完成后才合并。Rater 2 与 Rater 3 在评分前已获得书面知情同意。评分过程中，专家可自由查阅 ISO 15189:2022 与 CNAS-CL02:2023 的完整正文及附录。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抽样策略</w:t>
      </w:r>
      <w:r>
        <w:rPr>
          <w:rFonts w:ascii="Times New Roman" w:hAnsi="Times New Roman" w:eastAsia="宋体"/>
          <w:b w:val="0"/>
          <w:sz w:val="22"/>
        </w:rPr>
        <w:t>：从 486 份文件池中以分层随机抽样方式抽取 10 份，采用固定 Python 随机种子（seed = 42），按 7 个核心配置 × A 类程序文件任务（A1、A2、A3）分层——构成 21 层抽样框。抽样规模选 10 是为平衡专家工作量与分层覆盖；最终样本未覆盖全部 21 层（每个被抽中的层取 1–2 份）。选择 A 类是因为其在 CNAS 评审中是最稳定且最具评审相关性的文件类型；跨类别的可推广性已在 §4.5 中作为局限性予以说明。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提供商无商业、科研或咨询关系；本研究亦未接受上述机构的资金或实物资助。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：本研究未开展正式的评分前校准会议；3 位评分员仅依据公布的五维度量规（Table 2）与 ISO 15189:2022 / CNAS-CL02:2023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prepare_blind_review.py，已开源）：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(i) *文件重命名*：每份抽样文件从原路径 outputs/{group}/{group}-{task}-{rep}.md 复制到扁平化匿名序列 paper_01.md … paper_10.md，文件名与目录结构均去除组名与重复编号。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(ii) *正文去标识自检*：自动文本扫描确认 10 份盲化文件正文中无任何模型标识（"Claude"、"GPT"、"Opus"）或配置组关键词（"H4"、"C_full"、"G_template"、"F_template"、"H2_keep"、"E_rules_v2"、"A_bare"、"H3_skeleton"），保证模型与配置来源无法从正文推断。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(iii) *顺序随机化*：原（group, task, rep）三元组到 paper_01–paper_10 的分配采用固定 Python 随机种子（seed = 42）打乱；三位专家看到的呈现顺序完全相同。评分表中仅披露任务类别（如"人员培训与能力评估控制程序"），因其为文件内容固有属性且评分所需；底层配置组仍被隐藏。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(iv) *key 隔离*：（paper_id → group, task, replicate）映射文件 blind_review/key.json 在评分前封存，三位专家评分表全部提交后方开启。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2.4.1 组间成对比较与多重校正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Mann–Whitney U 检验（scipy.stats.mannwhitneyu，scipy v1.10.1），针对 per-document GPT 评审评分，每个配置贡献 n = 45 条评分（15 任务 × 3 重复）。四因子消融的多重比较校正采用 Benjamini–Hochberg 错误发现率（FDR）方法（statsmodels.stats.multitest.multipletests（statsmodels v0.14.6），method = fdr_bh，α = 0.05）。选用 FDR 而非 Bonferroni 校正，是因为四个预设对比之间存在配置重叠（例如 G_template_rules 同时出现于 *detailed content* 与 *worked examples* 两个对比），统计上并不独立；在此类结构化测试中，Benjamini–Hochberg 方法在严格控制错误发现期望比例的同时提供更高的统计功效。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2.4.2 配置成分效应的量化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个配置成分效应通过靶向成对对比定义，每个对比设计为隔离一个维度，同时尽量保持其他三个维度恒定：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*rules*（规则）：E_rules_v2 vs A_bare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*document skeleton*（文档骨架）：H4_sop_only vs E_rules_v2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*detailed content*（详细内容）：G_template_rules vs H3_skeleton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*worked examples*（示例）：H2_keep_examples vs G_template_rules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每个对比的效应量 Δ 定义为简单算术均值差，Δ = mean(组 B) − mean(组 A)，其中各组均值为该配置下 45 条 per-document GPT 评审评分的非加权算术平均。未加入任何协变量、随机效应、加权或收缩。同一份每组 45 个样本同时作为对应 Mann–Whitney U 检验的输入。本研究未采用 L9 正交表分解、最小二乘均值（least-squares means）或混合效应模型，因为靶向对比方案对所关注的替换型对比给出更透明、更可直接解读的估计。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2.4.3 评分者间一致性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评分者间一致性采用三类互补指标进行评估，全部完整报告，因其各自捕捉一致性的不同侧面：Pearson 相关系数捕捉线性关联同时容许评分者间系统性偏移；Spearman 相关系数捕捉排序一致性而不假设线性；组内相关系数（ICC）按 Shrout 与 Fleiss [13] 的标准框架定量信度。所采用的 4 种 ICC 变体如下：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 — 单评分者绝对一致性，双向随机效应；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 xml:space="preserve"> — 单评分者排序一致性，双向混合效应；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— k 评分者平均绝对一致性；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 xml:space="preserve"> — k 评分者平均排序一致性。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单评分者变体 ICC(2,1) 与 ICC(3,1) 用于两两比较（如专家均值 vs 各 LLM 评审，及专家组内两两比较）；k 评分者均值变体 ICC(2,k) 与 ICC(3,k)（k = 3）用于评估三专家组的整体信度。所有 ICC 计算采用 pingouin Python 库（v0.6.1）。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2.4.4 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对于每个作为评审员的模型 M ∈ {Claude Opus 4.6, GPT-5.4}，自评偏差按 Panickssery 等 [6] 的经典定义计算——同一评审员、不同生成者：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bias_M = mean(judge = M, generator = M) − mean(judge = M, generator = M′)，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其中 M′ 为另一模型。正值表示评审员 M 对自家模型族生成的输出评分高于对手生成者；负值反之。作为敏感性检验，我们另以替代的跨评审公式（同一生成者、不同评审员：bias_M = mean(judge = M, generator = M) − mean(judge = M′, generator = M)）重新计算，得到 Claude +0.29、GPT −0.30，与 §3.4 报告的经典值（+0.46 与 −0.47）方向与排序完全一致。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2.4.5 实验设计说明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本研究的 9 个评估配置并非 Taguchi L9 正交表，而是 4 维配置空间（规则 / 文档骨架 / 详细内容 / 示例）的结构化子集；各维度按其操作定义所相关的水平变化：</w:t>
      </w:r>
      <w:r>
        <w:rPr>
          <w:rFonts w:ascii="Times New Roman" w:hAnsi="Times New Roman" w:eastAsia="宋体"/>
          <w:b/>
          <w:sz w:val="22"/>
        </w:rPr>
        <w:t>规则与文档骨架为三水平（缺失 / 部分 / 完整）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详细内容与示例为二水平（缺失 / 存在）</w:t>
      </w:r>
      <w:r>
        <w:rPr>
          <w:rFonts w:ascii="Times New Roman" w:hAnsi="Times New Roman" w:eastAsia="宋体"/>
          <w:b w:val="0"/>
          <w:sz w:val="22"/>
        </w:rPr>
        <w:t>。配置选取目的是通过 §2.4.2 列出的靶向成对对比隔离每个维度的影响，而非满足 L9 设计的正交平衡要求。因此 Δ 效应估计仅对应 §2.4.2 中列出的特定配置对，未对完整因子设计参考做加权重映射。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名，E_rules_v2（1.2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p、BH-adjusted p 与 bootstrap 95% CI（B = 10,000，seed = 42）。规则层是 4 因子中唯一在校正后仍达到显著的主效应（Δ=+0.511；95% CI [+0.28, +0.75]；raw p&lt;0.001；BH-adjusted p&lt;0.001）。骨架层（Δ=+0.213；95% CI [+0.05, +0.39]；raw p=0.055；BH-adjusted p=0.11）方向为正；虽 CI 不含 0，但 BH-adjusted p 未达 0.05 阈值（差异源于 CI 基于简单均值差计算，而推断用的是基于秩的 Mann–Whitney 检验）。本研究将骨架层视为提示性证据，需进一步验证。详细内容（G vs H3：Δ=−0.031；95% CI [−0.19, +0.12]；raw p=0.79；BH-adjusted p=0.79）与示例（H2 vs G：Δ=−0.053；95% CI [−0.21, +0.11]；raw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名（4.167），E_rules_v2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名，E_rules_v2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76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调用相同配置可能得到略有差异的绝对评分。(xiv) AIHubMix 路由未独立审计：GPT-5.4 通过 AIHubMix 代理端点调用，该端点宣称对上游 OpenAI API 透明转发。本研究未独立验证其响应与直接 OpenAI 调用的等价性；路由层面的细微差异（请求批处理、header 处理）无法完全排除，但 GPT-5.4 model 标识符在调用链路中保持一致。(xv) 温度设置：所有生成均使用 temperature = 1.0 以反映真实交互使用场景。此设置引入随机性方差（已通过每元胞 3 次重复缓解），但牺牲了严格的字面级可重复性；追求确定性比较的后续研究建议改用 temperature = 0 重跑。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E_rules_v2（1–2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