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LLM-Generated Medical Laboratory QMS Documents: Claude Opus 4.6 vs. GPT-5.4 Across Prompting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ISO 15189:2022 compliance of LLM-generated QMS documents across prompting configurations and characterise LLM-as-judge biases.</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We generated 486 QMS documents using Claude Opus 4.6 (9 configurations × 15 tasks × 3 replicates = 405) and GPT-5.4 (81 for cross-model validation), spanning four prompt-content dimensions (rules, document skeleton, detailed content, worked examples; 0–56,000 tokens). Compliance was rated on a 0–5 Likert scale via three tiers: an automated rule-based scorer, dual LLM-as-judge review (864 ratings), and blinded review of 10 stratified-sampled documents by three qualified ISO 15189 internal auditors. Ablation effects used Mann–Whitney U with BH correction and bootstrap 95% CIs; inter-rater reliability used ICC variants.</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C_full (~56,000 tokens) scored 3.22–4.56 with Claude vs. 1.40–1.84 with GPT-5.4. Both LLM judges rated Claude-generated outputs ~0.30 points higher (Panickssery: +0.29 Claude, −0.30 GPT), concentrated at C_full and incompatible with classical self-preference. Expert inter-rater agreement was excellent [ICC(2,k) = 0.982]; Claude–expert agreement was moderate [ICC(3,1) = 0.548] and GPT–expert poor [ICC(3,1) = 0.217]; LLM judges overestimated experts by 0.52–0.90 points. The LLM-favoured H4_sop_only (~2,000 tokens) fell to fifth of seven under expert review (3.20),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Optimal configuration depends on evaluation tier: minimal prompts (~1,000–2,000 tokens) for exploratory drafts; template-anchored prompts (~15,000–16,000 tokens) for accreditation submission; C_full (~56,000 tokens) avoided with GPT-5.4. LLM-as-judge may support first-pass screening;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prompt configurations were designed by systematic substitution along four prompt-content dimensions—rules, document skeleton, detailed content, and worked examples—varied across operationally relevant levels: three levels (absent / partial / full) for rules and document skeleton, and binary (absent / present) for detailed content and worked examples (Figure 1). Two minimal configurations served as baselines: A_bare (0 tokens; no system prompt) and B_simple (~300 tokens; a brief task instruction containing six numbered constraints—language, file structure, standard citations, terminology, expression style, and numbering—coded as the partial level of the rules dimension). C_full (~56,000 tokens) represented the full-context input strategy, comprising the laboratory profile and the full set of SOPs concatenated into a single context block; because no standalone enforcement-oriented rule block was supplied, C_full was also coded as the partial level of the rules dimension. E_rules_v2 (~1,200 tokens) contained only the rules component; F_template (~15,000 tokens) contained the complete document template without rules; G_template_rules (~16,000 tokens) combined the rules component with the template; H2_keep_examples (~25,000 tokens) extended G_template_rules with worked examples; H3_skeleton (~5,000 tokens) preserved the module skeleton while removing detailed content; and H4_sop_only (~2,000 tokens) retained only the single SOP skeleton most relevant to the requested task. The letter D is intentionally skipped in the alphabetic sequence: an earlier D_rules variant was deprecated after expert validation identified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derived from a curated rules.md file (~1,200 tokens) and refined through domain-expert review. Three incorrect terminology mappings were removed (instrument → equipment; calibrator product → calibrator; inter-laboratory comparison → proficiency testing) and three target terms were corrected (specimen → sample; test item → measurand; linear range → reportable range); arrows denote the non-preferred → ISO 15189-preferred direction. The final rule set retained 10 verified terminology mappings and seven categories of prohibited vague expressions. The document skeleton was extracted from the institutional template library using a custom *strip_to_skeleton* algorithm, which preserved section headings, each section's introductory paragraph, and form-numbering schemes, while removing verbatim clause excerpts, detailed tabular content, worked examples, step-by-step procedures, and fenced code blocks (markdown ... constructs enclosing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were computed using the cl100k_base tokenizer (OpenAI tiktoken library); for mixed Chinese–English medical text, this tokenizer typically differs from the Anthropic-native tokenizer by ≤10% and was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1.</w:t>
      </w:r>
    </w:p>
    <w:p>
      <w:pPr>
        <w:spacing w:before="160" w:after="40" w:lineRule="auto" w:line="300"/>
        <w:jc w:val="left"/>
      </w:pPr>
      <w:r>
        <w:rPr>
          <w:rFonts w:ascii="Arial" w:hAnsi="Arial" w:eastAsia="黑体"/>
          <w:b/>
          <w:sz w:val="22"/>
        </w:rPr>
        <w:t>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 2.65] on the 0–5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1)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1);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160" w:after="40" w:lineRule="auto" w:line="300"/>
        <w:jc w:val="left"/>
      </w:pPr>
      <w:r>
        <w:rPr>
          <w:rFonts w:ascii="Arial" w:hAnsi="Arial" w:eastAsia="黑体"/>
          <w:b/>
          <w:sz w:val="22"/>
        </w:rPr>
        <w:t>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1)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1)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160" w:after="40" w:lineRule="auto" w:line="300"/>
        <w:jc w:val="left"/>
      </w:pPr>
      <w:r>
        <w:rPr>
          <w:rFonts w:ascii="Arial" w:hAnsi="Arial" w:eastAsia="黑体"/>
          <w:b/>
          <w:sz w:val="22"/>
        </w:rPr>
        <w:t>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160" w:after="40" w:lineRule="auto" w:line="300"/>
        <w:jc w:val="left"/>
      </w:pPr>
      <w:r>
        <w:rPr>
          <w:rFonts w:ascii="Arial" w:hAnsi="Arial" w:eastAsia="黑体"/>
          <w:b/>
          <w:sz w:val="22"/>
        </w:rPr>
        <w:t>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160" w:after="40" w:lineRule="auto" w:line="300"/>
        <w:jc w:val="left"/>
      </w:pPr>
      <w:r>
        <w:rPr>
          <w:rFonts w:ascii="Arial" w:hAnsi="Arial" w:eastAsia="黑体"/>
          <w:b/>
          <w:sz w:val="22"/>
        </w:rPr>
        <w:t>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160" w:after="40" w:lineRule="auto" w:line="300"/>
        <w:jc w:val="left"/>
      </w:pPr>
      <w:r>
        <w:rPr>
          <w:rFonts w:ascii="Arial" w:hAnsi="Arial" w:eastAsia="黑体"/>
          <w:b/>
          <w:sz w:val="22"/>
        </w:rPr>
        <w:t>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160" w:after="40" w:lineRule="auto" w:line="300"/>
        <w:jc w:val="left"/>
      </w:pPr>
      <w:r>
        <w:rPr>
          <w:rFonts w:ascii="Arial" w:hAnsi="Arial" w:eastAsia="黑体"/>
          <w:b/>
          <w:sz w:val="22"/>
        </w:rPr>
        <w:t>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at only ~2,000 tokens — well below the template-anchored configurations (G_template_rules ~16,000; H2_keep_examples ~25,000) and the full-context C_full (~56,000); as reported in §3.5, however, this ranking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displays the 2 × 2 symmetric design—Claude-generated × Claude-judge, Claude-generated × GPT-judge, GPT-generated × Claude-judge, and GPT-generated × GPT-judge—evaluated on the 9 configurations across the three representative tasks (A1, B1, C1) with three replicates per cell. The full-context configuration C_full (~56,000 tokens) exhibited a sharp drop in evaluated compliance when generated by GPT-5.4: the GPT-generated × Claude-judge mean was 1.40 and the GPT-generated × GPT-judge mean was 1.84 on the 0–5 Likert scale, whereas the same C_full configuration generated by Claude Opus 4.6 yielded cross-evaluated mean scores in the range 3.22–4.56 across the two judges. This pattern indicates that the apparent usability of the ~56,000-token full-context configuration is specific to Claude Opus 4.6 and does not generalise to GPT-5.4 within the parameters tested. Qualitative inspection of the GPT-generated C_full outputs by the authors identified three recurrent failure modes: instruction-following degradation, in which early constraints stated in the system prompt were no longer reflected in later sections of the output; structural breakdown, manifesting as inconsistent section ordering, missing required headings, or numbering errors; and clause-citation confusion, including the use of incorrect, mismatched, or fabricated ISO 15189:2022 clause identifiers. These failure modes were not observed in the corresponding Claude Opus 4.6 outputs.</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1)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~15,000–25,000-token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However, as detailed in §3.4, this population-level average was strongly leveraged by the C_full configuration; when C_full is excluded, the Claude-judge mean bias attenuates to −0.064 and the GPT-judge mean bias to −0.167, indicating that the cross-judge directional pattern is concentrated at the long-context configuration rather than constituting a uniform property of the LLM-as-judge framework.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2).</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2.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Furthermore, the cross-judge bias estimates reported in §3.4 are strongly leveraged by the C_full configuration, which contributes the largest single-configuration value (+3.156) to the Claude-judge mean and −1.378 to the GPT-judge mean; future replication should therefore report per-configuration bias profiles separately to disentangle long-context-specific effects from configuration-independent judge preferences. All 10 sampled documents were Class A procedure documents (§2.3.3); cross-class generalisation to Class B (system operation) and Class C (audit simulation) tasks requires separate validation. Multi-centre validation with three to five raters scoring 30–50 documents per institution—including matched GPT-generated samples and Class B/C tasks—is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[10.5281/zenodo.20091464](https://doi.org/10.5281/zenodo.20091464)).</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San Francisco (CA): Anthropic; 2025. Available at: https://www.anthropic.com/claude. [Accessed 9 May 2026].</w:t>
      </w:r>
    </w:p>
    <w:p>
      <w:pPr>
        <w:spacing w:before="80" w:after="80" w:lineRule="auto" w:line="360"/>
        <w:ind w:firstLine="0"/>
        <w:jc w:val="both"/>
      </w:pPr>
      <w:r>
        <w:rPr>
          <w:rFonts w:ascii="Times New Roman" w:hAnsi="Times New Roman" w:eastAsia="宋体"/>
          <w:b w:val="0"/>
          <w:sz w:val="22"/>
        </w:rPr>
        <w:t>2.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the 62nd Annual Meeting of the Association for Computational Linguistics (ACL 2024); 2024 Aug 11–16; Bangkok, Thailand. Stroudsburg (PA): Association for Computational Linguistics;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2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