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lineRule="auto" w:line="360"/>
        <w:jc w:val="center"/>
      </w:pPr>
      <w:r>
        <w:rPr>
          <w:rFonts w:ascii="Times New Roman" w:hAnsi="Times New Roman" w:eastAsia="宋体"/>
          <w:b/>
          <w:i w:val="0"/>
          <w:sz w:val="30"/>
        </w:rPr>
        <w:t>Evaluating LLM-Assisted Drafting of ISO 15189 Quality Management Documents: Prompt Configuration, LLM-as-Judge Bias, and Exploratory Expert Validation</w:t>
      </w:r>
    </w:p>
    <w:p>
      <w:pPr>
        <w:spacing w:before="80" w:after="80" w:lineRule="auto" w:line="360"/>
        <w:ind w:firstLine="0"/>
        <w:jc w:val="both"/>
      </w:pPr>
      <w:r>
        <w:rPr>
          <w:rFonts w:ascii="Times New Roman" w:hAnsi="Times New Roman" w:eastAsia="宋体"/>
          <w:b/>
          <w:i w:val="0"/>
          <w:sz w:val="24"/>
        </w:rPr>
        <w:t xml:space="preserve">Authors: </w:t>
      </w:r>
      <w:r>
        <w:rPr>
          <w:rFonts w:ascii="Times New Roman" w:hAnsi="Times New Roman" w:eastAsia="宋体"/>
          <w:b w:val="0"/>
          <w:i w:val="0"/>
          <w:sz w:val="24"/>
        </w:rPr>
        <w:t>Sidi Liu</w:t>
      </w:r>
      <w:r>
        <w:rPr>
          <w:rFonts w:ascii="Times New Roman" w:hAnsi="Times New Roman" w:eastAsia="宋体"/>
          <w:b w:val="0"/>
          <w:i w:val="0"/>
          <w:sz w:val="24"/>
          <w:vertAlign w:val="superscript"/>
        </w:rPr>
        <w:t>1</w:t>
      </w:r>
      <w:r>
        <w:rPr>
          <w:rFonts w:ascii="Times New Roman" w:hAnsi="Times New Roman" w:eastAsia="宋体"/>
          <w:b w:val="0"/>
          <w:i w:val="0"/>
          <w:sz w:val="24"/>
        </w:rPr>
        <w:t>, Lan Yang</w:t>
      </w:r>
      <w:r>
        <w:rPr>
          <w:rFonts w:ascii="Times New Roman" w:hAnsi="Times New Roman" w:eastAsia="宋体"/>
          <w:b w:val="0"/>
          <w:i w:val="0"/>
          <w:sz w:val="24"/>
          <w:vertAlign w:val="superscript"/>
        </w:rPr>
        <w:t>1</w:t>
      </w:r>
      <w:r>
        <w:rPr>
          <w:rFonts w:ascii="Times New Roman" w:hAnsi="Times New Roman" w:eastAsia="宋体"/>
          <w:b w:val="0"/>
          <w:i w:val="0"/>
          <w:sz w:val="24"/>
        </w:rPr>
        <w:t>, Xinying Chen</w:t>
      </w:r>
      <w:r>
        <w:rPr>
          <w:rFonts w:ascii="Times New Roman" w:hAnsi="Times New Roman" w:eastAsia="宋体"/>
          <w:b w:val="0"/>
          <w:i w:val="0"/>
          <w:sz w:val="24"/>
          <w:vertAlign w:val="superscript"/>
        </w:rPr>
        <w:t>1</w:t>
      </w:r>
      <w:r>
        <w:rPr>
          <w:rFonts w:ascii="Times New Roman" w:hAnsi="Times New Roman" w:eastAsia="宋体"/>
          <w:b w:val="0"/>
          <w:i w:val="0"/>
          <w:sz w:val="24"/>
        </w:rPr>
        <w:t>, Dan Wu</w:t>
      </w:r>
      <w:r>
        <w:rPr>
          <w:rFonts w:ascii="Times New Roman" w:hAnsi="Times New Roman" w:eastAsia="宋体"/>
          <w:b w:val="0"/>
          <w:i w:val="0"/>
          <w:sz w:val="24"/>
          <w:vertAlign w:val="superscript"/>
        </w:rPr>
        <w:t>1</w:t>
      </w:r>
      <w:r>
        <w:rPr>
          <w:rFonts w:ascii="Times New Roman" w:hAnsi="Times New Roman" w:eastAsia="宋体"/>
          <w:b w:val="0"/>
          <w:i w:val="0"/>
          <w:sz w:val="24"/>
        </w:rPr>
        <w:t>, Dongdong Li</w:t>
      </w:r>
      <w:r>
        <w:rPr>
          <w:rFonts w:ascii="Times New Roman" w:hAnsi="Times New Roman" w:eastAsia="宋体"/>
          <w:b w:val="0"/>
          <w:i w:val="0"/>
          <w:sz w:val="24"/>
          <w:vertAlign w:val="superscript"/>
        </w:rPr>
        <w:t>2,3,*</w:t>
      </w:r>
    </w:p>
    <w:p>
      <w:pPr>
        <w:spacing w:before="80" w:after="80" w:lineRule="auto" w:line="360"/>
        <w:ind w:firstLine="0"/>
        <w:jc w:val="both"/>
      </w:pPr>
      <w:r>
        <w:rPr>
          <w:rFonts w:ascii="Times New Roman" w:hAnsi="Times New Roman" w:eastAsia="宋体"/>
          <w:b/>
          <w:i w:val="0"/>
          <w:sz w:val="24"/>
        </w:rPr>
        <w:t>Affiliations</w:t>
      </w:r>
      <w:r>
        <w:rPr>
          <w:rFonts w:ascii="Times New Roman" w:hAnsi="Times New Roman" w:eastAsia="宋体"/>
          <w:b w:val="0"/>
          <w:i w:val="0"/>
          <w:sz w:val="24"/>
        </w:rPr>
        <w:t>: ¹ Department of Laboratory Medicine, West China Hospital Xiamen, Sichuan University, Xiamen, Fujian 361024, China; ² Department of Laboratory Medicine, West China Hospital, Sichuan University, Chengdu, Sichuan 610041, China; ³ Sichuan Clinical Research Center for Laboratory Medicine, Chengdu 610041, Sichuan, PR China</w:t>
      </w:r>
    </w:p>
    <w:p>
      <w:pPr>
        <w:spacing w:before="80" w:after="80" w:lineRule="auto" w:line="360"/>
        <w:ind w:firstLine="0"/>
        <w:jc w:val="both"/>
      </w:pPr>
      <w:r>
        <w:rPr>
          <w:rFonts w:ascii="Times New Roman" w:hAnsi="Times New Roman" w:eastAsia="宋体"/>
          <w:b/>
          <w:i w:val="0"/>
          <w:sz w:val="24"/>
        </w:rPr>
        <w:t>Corresponding author</w:t>
      </w:r>
      <w:r>
        <w:rPr>
          <w:rFonts w:ascii="Times New Roman" w:hAnsi="Times New Roman" w:eastAsia="宋体"/>
          <w:b w:val="0"/>
          <w:i w:val="0"/>
          <w:sz w:val="24"/>
        </w:rPr>
        <w:t>: * Dongdong Li, Department of Laboratory Medicine, West China Hospital, Sichuan University, and Sichuan Clinical Research Center for Laboratory Medicine, Chengdu, Sichuan, PR China; email jiangxili1219@163.com; ORCID https://orcid.org/0000-0002-0290-6485</w:t>
      </w:r>
    </w:p>
    <w:p>
      <w:pPr>
        <w:spacing w:before="80" w:after="80" w:lineRule="auto" w:line="360"/>
        <w:ind w:firstLine="0"/>
        <w:jc w:val="both"/>
      </w:pPr>
      <w:r>
        <w:rPr>
          <w:rFonts w:ascii="Times New Roman" w:hAnsi="Times New Roman" w:eastAsia="宋体"/>
          <w:b/>
          <w:i w:val="0"/>
          <w:sz w:val="24"/>
        </w:rPr>
        <w:t>ORCID</w:t>
      </w:r>
      <w:r>
        <w:rPr>
          <w:rFonts w:ascii="Times New Roman" w:hAnsi="Times New Roman" w:eastAsia="宋体"/>
          <w:b w:val="0"/>
          <w:i w:val="0"/>
          <w:sz w:val="24"/>
        </w:rPr>
        <w:t>: Sidi Liu 0009-0006-1695-5372; Dongdong Li 0000-0002-0290-6485</w:t>
      </w:r>
    </w:p>
    <w:p>
      <w:pPr>
        <w:spacing w:before="80" w:after="80" w:lineRule="auto" w:line="360"/>
        <w:ind w:firstLine="0"/>
        <w:jc w:val="both"/>
      </w:pPr>
      <w:r>
        <w:rPr>
          <w:rFonts w:ascii="Times New Roman" w:hAnsi="Times New Roman" w:eastAsia="宋体"/>
          <w:b/>
          <w:i w:val="0"/>
          <w:sz w:val="24"/>
        </w:rPr>
        <w:t>Short title</w:t>
      </w:r>
      <w:r>
        <w:rPr>
          <w:rFonts w:ascii="Times New Roman" w:hAnsi="Times New Roman" w:eastAsia="宋体"/>
          <w:b w:val="0"/>
          <w:i w:val="0"/>
          <w:sz w:val="24"/>
        </w:rPr>
        <w:t>: Prompt configuration and LLM-as-judge bias in ISO 15189 drafting</w:t>
      </w:r>
    </w:p>
    <w:p>
      <w:pPr>
        <w:spacing w:before="280" w:after="120" w:lineRule="auto" w:line="360"/>
        <w:jc w:val="left"/>
      </w:pPr>
      <w:r>
        <w:rPr>
          <w:rFonts w:ascii="Times New Roman" w:hAnsi="Times New Roman" w:eastAsia="宋体"/>
          <w:b/>
          <w:i w:val="0"/>
          <w:sz w:val="24"/>
        </w:rPr>
        <w:t>Abstract</w:t>
      </w:r>
    </w:p>
    <w:p>
      <w:pPr>
        <w:spacing w:before="80" w:after="80" w:lineRule="auto" w:line="360"/>
        <w:ind w:firstLine="0"/>
        <w:jc w:val="both"/>
      </w:pPr>
      <w:r>
        <w:rPr>
          <w:rFonts w:ascii="Times New Roman" w:hAnsi="Times New Roman" w:eastAsia="宋体"/>
          <w:b/>
          <w:i w:val="0"/>
          <w:sz w:val="24"/>
        </w:rPr>
        <w:t>Objectives</w:t>
      </w:r>
      <w:r>
        <w:rPr>
          <w:rFonts w:ascii="Times New Roman" w:hAnsi="Times New Roman" w:eastAsia="宋体"/>
          <w:b w:val="0"/>
          <w:i w:val="0"/>
          <w:sz w:val="24"/>
        </w:rPr>
        <w:t>: To evaluate the ISO 15189:2022 compliance of quality management system (QMS) documents drafted with large language model (LLM) assistance.</w:t>
      </w:r>
    </w:p>
    <w:p>
      <w:pPr>
        <w:spacing w:before="80" w:after="80" w:lineRule="auto" w:line="360"/>
        <w:ind w:firstLine="0"/>
        <w:jc w:val="both"/>
      </w:pPr>
      <w:r>
        <w:rPr>
          <w:rFonts w:ascii="Times New Roman" w:hAnsi="Times New Roman" w:eastAsia="宋体"/>
          <w:b/>
          <w:i w:val="0"/>
          <w:sz w:val="24"/>
        </w:rPr>
        <w:t>Methods</w:t>
      </w:r>
      <w:r>
        <w:rPr>
          <w:rFonts w:ascii="Times New Roman" w:hAnsi="Times New Roman" w:eastAsia="宋体"/>
          <w:b w:val="0"/>
          <w:i w:val="0"/>
          <w:sz w:val="24"/>
        </w:rPr>
        <w:t>: We generated 486 QMS documents with Claude Opus 4.6 (405) and GPT-5.4 (81) across nine prompt configurations varying four components (rules, document skeleton, detailed content, worked examples; 0–56,000 tokens). Compliance was rated on a 0–5 scale at three tiers: an automated scorer, two LLM judges (864 ratings), and blinded review of 10 sampled documents by three ISO 15189 internal auditors. Ablation used Mann–Whitney U tests with BH correction and bootstrap 95% CIs; reliability used ICCs.</w:t>
      </w:r>
    </w:p>
    <w:p>
      <w:pPr>
        <w:spacing w:before="80" w:after="80" w:lineRule="auto" w:line="360"/>
        <w:ind w:firstLine="0"/>
        <w:jc w:val="both"/>
      </w:pPr>
      <w:r>
        <w:rPr>
          <w:rFonts w:ascii="Times New Roman" w:hAnsi="Times New Roman" w:eastAsia="宋体"/>
          <w:b/>
          <w:i w:val="0"/>
          <w:sz w:val="24"/>
        </w:rPr>
        <w:t>Results</w:t>
      </w:r>
      <w:r>
        <w:rPr>
          <w:rFonts w:ascii="Times New Roman" w:hAnsi="Times New Roman" w:eastAsia="宋体"/>
          <w:b w:val="0"/>
          <w:i w:val="0"/>
          <w:sz w:val="24"/>
        </w:rPr>
        <w:t>: Only the rules component significantly improved compliance at the LLM-judge tier [Δ = 0.511, bootstrap 95% CI (0.28, 0.75); BH-adjusted p &lt; 0.001]. The full-context C_full (~56,000 tokens) scored 3.22–4.56 with Claude but only 1.40–1.84 with GPT-5.4. Both judges rated Claude-generated outputs ~0.3 points higher (Panickssery self-preference index: +0.29 Claude, −0.30 GPT), an effect concentrated at C_full and incompatible with classical self-preference. Within-institution expert agreement was excellent [ICC(2,k) = 0.982]; judge–expert agreement was at best moderate [ICC(3,1) = 0.548 vs 0.217], with wide confidence intervals crossing zero, and both judges overestimated expert scores by 0.52–0.90 points. The LLM-favored H4_sop_only fell to fifth of seven under expert review, whereas template-anchored configurations ranked highest (4.06–4.24).</w:t>
      </w:r>
    </w:p>
    <w:p>
      <w:pPr>
        <w:spacing w:before="80" w:after="80" w:lineRule="auto" w:line="360"/>
        <w:ind w:firstLine="0"/>
        <w:jc w:val="both"/>
      </w:pPr>
      <w:r>
        <w:rPr>
          <w:rFonts w:ascii="Times New Roman" w:hAnsi="Times New Roman" w:eastAsia="宋体"/>
          <w:b/>
          <w:i w:val="0"/>
          <w:sz w:val="24"/>
        </w:rPr>
        <w:t>Conclusions</w:t>
      </w:r>
      <w:r>
        <w:rPr>
          <w:rFonts w:ascii="Times New Roman" w:hAnsi="Times New Roman" w:eastAsia="宋体"/>
          <w:b w:val="0"/>
          <w:i w:val="0"/>
          <w:sz w:val="24"/>
        </w:rPr>
        <w:t>: The optimal configuration varied with the evaluation tier: minimal prompts (~1,000–2,000 tokens) suit exploratory drafts requiring subsequent human review; template-anchored prompts (~15,000–16,000 tokens) tended to perform best for accreditation submission; and C_full performed markedly worse with GPT-5.4 and should be used with caution – a preliminary observation based on three tasks and not corroborated at the expert tier. LLM-as-judge can support first-pass screening, but expert final review remains indispensable.</w:t>
      </w:r>
    </w:p>
    <w:p>
      <w:pPr>
        <w:spacing w:before="80" w:after="80" w:lineRule="auto" w:line="360"/>
        <w:ind w:firstLine="0"/>
        <w:jc w:val="both"/>
      </w:pPr>
      <w:r>
        <w:rPr>
          <w:rFonts w:ascii="Times New Roman" w:hAnsi="Times New Roman" w:eastAsia="宋体"/>
          <w:b/>
          <w:i w:val="0"/>
          <w:sz w:val="24"/>
        </w:rPr>
        <w:t>Keywords</w:t>
      </w:r>
      <w:r>
        <w:rPr>
          <w:rFonts w:ascii="Times New Roman" w:hAnsi="Times New Roman" w:eastAsia="宋体"/>
          <w:b w:val="0"/>
          <w:i w:val="0"/>
          <w:sz w:val="24"/>
        </w:rPr>
        <w:t>: ISO 15189; large language models; LLM-as-judge; medical laboratory accreditation; prompt engineering; quality management system</w:t>
      </w:r>
    </w:p>
    <w:p>
      <w:pPr>
        <w:spacing w:before="280" w:after="120" w:lineRule="auto" w:line="360"/>
        <w:jc w:val="left"/>
      </w:pPr>
      <w:r>
        <w:rPr>
          <w:rFonts w:ascii="Times New Roman" w:hAnsi="Times New Roman" w:eastAsia="宋体"/>
          <w:b/>
          <w:i w:val="0"/>
          <w:sz w:val="24"/>
        </w:rPr>
        <w:t>1. Introduction</w:t>
      </w:r>
    </w:p>
    <w:p>
      <w:pPr>
        <w:spacing w:before="80" w:after="80" w:lineRule="auto" w:line="360"/>
        <w:ind w:firstLine="0"/>
        <w:jc w:val="both"/>
      </w:pPr>
      <w:r>
        <w:rPr>
          <w:rFonts w:ascii="Times New Roman" w:hAnsi="Times New Roman" w:eastAsia="宋体"/>
          <w:b w:val="0"/>
          <w:i w:val="0"/>
          <w:sz w:val="24"/>
        </w:rPr>
        <w:t xml:space="preserve">ISO 15189:2022 </w:t>
      </w:r>
      <w:r>
        <w:rPr>
          <w:rFonts w:ascii="Times New Roman" w:hAnsi="Times New Roman" w:eastAsia="宋体"/>
          <w:b w:val="0"/>
          <w:i/>
          <w:sz w:val="24"/>
        </w:rPr>
        <w:t>Medical laboratories — Requirements for quality and competence</w:t>
      </w:r>
      <w:r>
        <w:rPr>
          <w:rFonts w:ascii="Times New Roman" w:hAnsi="Times New Roman" w:eastAsia="宋体"/>
          <w:b w:val="0"/>
          <w:i w:val="0"/>
          <w:sz w:val="24"/>
        </w:rPr>
        <w:t xml:space="preserve"> [1] is the international standard for medical laboratory accreditation. In China, its adoption by medical laboratories continues to expand [2]. The corresponding national implementation document is CNAS-CL02:2023, issued by the China National Accreditation Service for Conformity Assessment (CNAS). These standards define what laboratories must achieve but do not prescribe in detail how each laboratory should implement the required processes. As a result, each laboratory must establish its own quality management system (QMS) documentation, including a quality manual, procedure documents, standard operating procedures, and associated records and forms. Based on the first author's experience as an ISO 15189 internal auditor, such a system in a tertiary hospital clinical laboratory contains on the order of 100–300 controlled documents and spans structural organization, clause-to-document mapping, form numbering, and responsibility assignment; drafting by an in-house quality team typically takes several months, followed by multiple rounds of internal audit before finalization. Laboratories pursuing CNAS accreditation typically engage external technical experts or trainers to guide this process.</w:t>
      </w:r>
    </w:p>
    <w:p>
      <w:pPr>
        <w:spacing w:before="80" w:after="80" w:lineRule="auto" w:line="360"/>
        <w:ind w:firstLine="0"/>
        <w:jc w:val="both"/>
      </w:pPr>
      <w:r>
        <w:rPr>
          <w:rFonts w:ascii="Times New Roman" w:hAnsi="Times New Roman" w:eastAsia="宋体"/>
          <w:b w:val="0"/>
          <w:i w:val="0"/>
          <w:sz w:val="24"/>
        </w:rPr>
        <w:t>Large language models (LLMs) have the potential to reduce this workload by generating structured first drafts of quality management documents. State-of-the-art models such as Claude Opus 4.6 and GPT-5.4 have shown increasing competence in long-document generation, structured output, and the use of domain-specific terminology [3, 4]. However, the optimal prompt design for generating compliant and operationally usable ISO 15189 quality management documents remains unclear. In practice, two broad prompting strategies are commonly used. The first is a full-context strategy, in which all potentially relevant materials, such as ISO and CNAS standards, existing standard operating procedures, templates, and worked examples, are loaded into the system prompt. This approach may result in prompts exceeding 50,000 to 100,000 tokens. The second is a minimal-prompt strategy, in which only distilled rules, formatting constraints, or document skeletons are provided, leaving the model to generate most content from its pretrained knowledge. Empirical evidence supporting either approach remains limited, as existing surveys of LLM behavior and prompting [5, 6] have largely addressed general-purpose tasks and have not specifically examined specialized regulatory-document scenarios such as QMS authoring.</w:t>
      </w:r>
    </w:p>
    <w:p>
      <w:pPr>
        <w:spacing w:before="80" w:after="80" w:lineRule="auto" w:line="360"/>
        <w:ind w:firstLine="0"/>
        <w:jc w:val="both"/>
      </w:pPr>
      <w:r>
        <w:rPr>
          <w:rFonts w:ascii="Times New Roman" w:hAnsi="Times New Roman" w:eastAsia="宋体"/>
          <w:b w:val="0"/>
          <w:i w:val="0"/>
          <w:sz w:val="24"/>
        </w:rPr>
        <w:t>A second methodological challenge concerns evaluation. LLM-generated outputs are currently most often assessed by the LLM-as-judge approach, in which a separate LLM assigns the scores [7]. In addition, methods for assessing long-form generation quality [8] and preference benchmarks built from large-scale human voting [9] are two other principal approaches. Studies have found that LLM judges tend to favor outputs from models in their own family (self-preference bias) [10]. However, whether and how this bias arises in specialized, regulated settings such as medical-laboratory QMS, and how it affects comparisons between configurations, has not been empirically characterized.</w:t>
      </w:r>
    </w:p>
    <w:p>
      <w:pPr>
        <w:spacing w:before="80" w:after="80" w:lineRule="auto" w:line="360"/>
        <w:ind w:firstLine="0"/>
        <w:jc w:val="both"/>
      </w:pPr>
      <w:r>
        <w:rPr>
          <w:rFonts w:ascii="Times New Roman" w:hAnsi="Times New Roman" w:eastAsia="宋体"/>
          <w:b w:val="0"/>
          <w:i w:val="0"/>
          <w:sz w:val="24"/>
        </w:rPr>
        <w:t>To address these gaps, the present study generated 486 QMS documents, collected 864 LLM-judge ratings, and obtained 30 blinded expert ratings, addressing the following five questions: (i) Which of the four prompt components – rules, document skeleton, detailed content, and worked examples – contributes most to compliance? (ii) What is the minimum number of tokens needed? (iii) Is the optimal configuration consistent between Claude Opus 4.6 and GPT-5.4? (iv) How large is the LLM-judge self-preference bias in this domain? (v) Which configuration performs robustly across all three tiers – automated scoring, LLM judges, and expert ratings? This study treats LLMs as drafting and screening tools rather than autonomous authors of controlled quality management documents. ISO 15189 documentation must reflect the laboratory's validated processes, instruments, responsibilities, workflows, and records, and must be reviewed and approved by competent personnel. An LLM-generated document may provide a useful first draft, but it is not itself a controlled document. It has no institutional accountability, has not been verified against local practice, and cannot replace expert review. Accordingly, our analysis focuses not on whether LLMs can independently produce accreditation-ready documents, but on how different prompt configurations affect the quality of drafts and how reliably LLM-based evaluation reflects expert judgment.</w:t>
      </w:r>
    </w:p>
    <w:p>
      <w:pPr>
        <w:spacing w:before="280" w:after="120" w:lineRule="auto" w:line="360"/>
        <w:jc w:val="left"/>
      </w:pPr>
      <w:r>
        <w:rPr>
          <w:rFonts w:ascii="Times New Roman" w:hAnsi="Times New Roman" w:eastAsia="宋体"/>
          <w:b/>
          <w:i w:val="0"/>
          <w:sz w:val="24"/>
        </w:rPr>
        <w:t>2. Materials and methods</w:t>
      </w:r>
    </w:p>
    <w:p>
      <w:pPr>
        <w:spacing w:before="200" w:after="80" w:lineRule="auto" w:line="360"/>
        <w:jc w:val="left"/>
      </w:pPr>
      <w:r>
        <w:rPr>
          <w:rFonts w:ascii="Times New Roman" w:hAnsi="Times New Roman" w:eastAsia="宋体"/>
          <w:b/>
          <w:i w:val="0"/>
          <w:sz w:val="24"/>
        </w:rPr>
        <w:t>2.1 Configuration design</w:t>
      </w:r>
    </w:p>
    <w:p>
      <w:pPr>
        <w:spacing w:before="80" w:after="80" w:lineRule="auto" w:line="360"/>
        <w:ind w:firstLine="0"/>
        <w:jc w:val="both"/>
      </w:pPr>
      <w:r>
        <w:rPr>
          <w:rFonts w:ascii="Times New Roman" w:hAnsi="Times New Roman" w:eastAsia="宋体"/>
          <w:b w:val="0"/>
          <w:i w:val="0"/>
          <w:sz w:val="24"/>
        </w:rPr>
        <w:t>We designed nine system-prompt configurations differing in four content categories: rules, document skeleton, detailed content, and worked examples. The composition and token size of each configuration are given in Figure 1; each pair used for comparison differs in only one category, isolating that category's effect (Section 2.4.2). The letter D was skipped in the numbering: the early D_rules variant was discarded after expert review during configuration development identified terminology errors and was replaced by E_rules_v2.</w:t>
      </w:r>
    </w:p>
    <w:p>
      <w:pPr>
        <w:spacing w:before="80" w:after="80" w:lineRule="auto" w:line="360"/>
        <w:ind w:firstLine="0"/>
        <w:jc w:val="both"/>
      </w:pPr>
      <w:r>
        <w:rPr>
          <w:rFonts w:ascii="Times New Roman" w:hAnsi="Times New Roman" w:eastAsia="宋体"/>
          <w:b w:val="0"/>
          <w:i w:val="0"/>
          <w:sz w:val="24"/>
        </w:rPr>
        <w:t>The rules component is a rules.md file (~1,200 tokens) retaining, after domain-expert review, 10 terminology mappings (e.g., normalizing "specimen" to "sample" and "inter-laboratory comparison" to "proficiency testing"; English glosses shown here for presentation, as the deployed rules file was written in Chinese) and seven categories of prohibited vague expressions. The document skeleton was extracted from institutional templates by a custom script (</w:t>
      </w:r>
      <w:r>
        <w:rPr>
          <w:rFonts w:ascii="Times New Roman" w:hAnsi="Times New Roman" w:eastAsia="宋体"/>
          <w:b w:val="0"/>
          <w:i/>
          <w:sz w:val="24"/>
        </w:rPr>
        <w:t>strip_to_skeleton</w:t>
      </w:r>
      <w:r>
        <w:rPr>
          <w:rFonts w:ascii="Times New Roman" w:hAnsi="Times New Roman" w:eastAsia="宋体"/>
          <w:b w:val="0"/>
          <w:i w:val="0"/>
          <w:sz w:val="24"/>
        </w:rPr>
        <w:t>), keeping section headings, each section's introductory paragraph, and form numbers. All token counts were computed with the public cl100k_base tokenizer (OpenAI tiktoken); Claude's own tokenizer is not public but differs by less than 10% on mixed Chinese–English text.</w:t>
      </w:r>
    </w:p>
    <w:p>
      <w:pPr>
        <w:spacing w:before="200" w:after="80" w:lineRule="auto" w:line="360"/>
        <w:jc w:val="left"/>
      </w:pPr>
      <w:r>
        <w:rPr>
          <w:rFonts w:ascii="Times New Roman" w:hAnsi="Times New Roman" w:eastAsia="宋体"/>
          <w:b/>
          <w:i w:val="0"/>
          <w:sz w:val="24"/>
        </w:rPr>
        <w:t>2.2 Generation models and tasks</w:t>
      </w:r>
    </w:p>
    <w:p>
      <w:pPr>
        <w:spacing w:before="80" w:after="80" w:lineRule="auto" w:line="360"/>
        <w:ind w:firstLine="0"/>
        <w:jc w:val="both"/>
      </w:pPr>
      <w:r>
        <w:rPr>
          <w:rFonts w:ascii="Times New Roman" w:hAnsi="Times New Roman" w:eastAsia="宋体"/>
          <w:b w:val="0"/>
          <w:i w:val="0"/>
          <w:sz w:val="24"/>
        </w:rPr>
        <w:t>The primary experiment used Claude Opus 4.6 (Anthropic, San Francisco, CA, USA) through the Claude Code Agent in text-only mode, with no tool calls during generation, although the framework's built-in tool definitions remain in the system prompt (Section 4.6). Nine configurations × 15 tasks × 3 replicates yielded 405 documents. The 15 tasks were grouped by CNAS audit scenario into three classes of five: Class A, document drafting; Class B, system operation; and Class C, audit simulation. The full task list with the corresponding ISO 15189:2022 clauses is given in Supplementary Table S1 and the original prompts in the GitHub repository. These tasks cover system-level documents concerned with document control, internal audit, and management review; they include no technical documents such as method validation reports or measurement-uncertainty procedures (Section 4.6).</w:t>
      </w:r>
    </w:p>
    <w:p>
      <w:pPr>
        <w:spacing w:before="80" w:after="80" w:lineRule="auto" w:line="360"/>
        <w:ind w:firstLine="0"/>
        <w:jc w:val="both"/>
      </w:pPr>
      <w:r>
        <w:rPr>
          <w:rFonts w:ascii="Times New Roman" w:hAnsi="Times New Roman" w:eastAsia="宋体"/>
          <w:b w:val="0"/>
          <w:i w:val="0"/>
          <w:sz w:val="24"/>
        </w:rPr>
        <w:t>For cross-model validation, GPT-5.4 (OpenAI, San Francisco, CA, USA) was accessed through the official openai Python SDK (v2.30.0), with the base URL pointed to the AIHubMix endpoint because direct access to the OpenAI API was unavailable from the authors' region. To limit API cost, GPT-5.4 generation covered only the first task of each class (A1, B1, and C1; these were not randomly sampled), run on the same nine configurations with three replicates, yielding 81 documents.</w:t>
      </w:r>
    </w:p>
    <w:p>
      <w:pPr>
        <w:spacing w:before="80" w:after="80" w:lineRule="auto" w:line="360"/>
        <w:ind w:firstLine="0"/>
        <w:jc w:val="both"/>
      </w:pPr>
      <w:r>
        <w:rPr>
          <w:rFonts w:ascii="Times New Roman" w:hAnsi="Times New Roman" w:eastAsia="宋体"/>
          <w:b w:val="0"/>
          <w:i w:val="0"/>
          <w:sz w:val="24"/>
        </w:rPr>
        <w:t>Both models received identical system prompts but not identical generation parameters. Claude ran through the Claude Code Agent, which does not expose temperature or max_tokens, so neither was set explicitly; GPT-5.4 was called with temperature = 0.7 and max_completion_tokens = 16,000. Both settings are stochastic, hence the three replicates per combination; the consequences of this mismatch for cross-model comparison are discussed in Section 4.6. All API calls were made between 2 and 14 April 2026.</w:t>
      </w:r>
    </w:p>
    <w:p>
      <w:pPr>
        <w:spacing w:before="200" w:after="80" w:lineRule="auto" w:line="360"/>
        <w:jc w:val="left"/>
      </w:pPr>
      <w:r>
        <w:rPr>
          <w:rFonts w:ascii="Times New Roman" w:hAnsi="Times New Roman" w:eastAsia="宋体"/>
          <w:b/>
          <w:i w:val="0"/>
          <w:sz w:val="24"/>
        </w:rPr>
        <w:t>2.3 Three-tier evaluation framework</w:t>
      </w:r>
    </w:p>
    <w:p>
      <w:pPr>
        <w:spacing w:before="80" w:after="80" w:lineRule="auto" w:line="360"/>
        <w:ind w:firstLine="0"/>
        <w:jc w:val="both"/>
      </w:pPr>
      <w:r>
        <w:rPr>
          <w:rFonts w:ascii="Times New Roman" w:hAnsi="Times New Roman" w:eastAsia="宋体"/>
          <w:b w:val="0"/>
          <w:i w:val="0"/>
          <w:sz w:val="24"/>
        </w:rPr>
        <w:t>Compliance was evaluated with three complementary tiers, all scoring on a common 0–5 integer scale: an automated rule-based scorer (Tier 1), two LLM judges (Tiers 2a and 2b), and an independent blinded expert review (Tier 3). Tier 1 covered only structural features that code can detect objectively; Tiers 2 and 3 shared a five-dimensional rubric (Supplementary Table S2) – clause coverage, operability, internal consistency, PDCA closure, and professional depth.</w:t>
      </w:r>
    </w:p>
    <w:p>
      <w:pPr>
        <w:spacing w:before="160" w:after="40" w:lineRule="auto" w:line="360"/>
        <w:jc w:val="left"/>
      </w:pPr>
      <w:r>
        <w:rPr>
          <w:rFonts w:ascii="Times New Roman" w:hAnsi="Times New Roman" w:eastAsia="宋体"/>
          <w:b/>
          <w:i w:val="0"/>
          <w:sz w:val="24"/>
        </w:rPr>
        <w:t>2.3.1 Tier 1 – Automated scoring of structural compliance</w:t>
      </w:r>
    </w:p>
    <w:p>
      <w:pPr>
        <w:spacing w:before="80" w:after="80" w:lineRule="auto" w:line="360"/>
        <w:ind w:firstLine="0"/>
        <w:jc w:val="both"/>
      </w:pPr>
      <w:r>
        <w:rPr>
          <w:rFonts w:ascii="Times New Roman" w:hAnsi="Times New Roman" w:eastAsia="宋体"/>
          <w:b w:val="0"/>
          <w:i w:val="0"/>
          <w:sz w:val="24"/>
        </w:rPr>
        <w:t>The auto-scorer (auto_scorer.py, open source) rated all 486 documents on three dimensions: format (whether the document includes the section headings, numbering depth, and non-empty content required by its task class), clause coverage (regex matching of ISO 15189:2022 chapters 4–8 and CNAS-CL02:2023 clause identifiers), and terminology compliance (non-preferred terms flagged against an ISO 15189/CNAS-validated vocabulary table, together with detection of vague expressions such as "in a timely manner" and "relevant personnel"). These were combined into a weighted composite (auto_weighted; format 0.18, clause coverage 0.22, terminology 0.13), on which the Tier 1 rankings in Section 3 are based. These three weights are the corresponding entries of a seven-dimension a priori weighting scheme (summing to 1) defined in the released scorer, of which only the three rule-checkable dimensions are computed at this tier; because the composite is min-max normalized and used only for relative ranking (Section 3.1), the retained weight sum of 0.53 does not affect any result.</w:t>
      </w:r>
    </w:p>
    <w:p>
      <w:pPr>
        <w:spacing w:before="80" w:after="80" w:lineRule="auto" w:line="360"/>
        <w:ind w:firstLine="0"/>
        <w:jc w:val="both"/>
      </w:pPr>
      <w:r>
        <w:rPr>
          <w:rFonts w:ascii="Times New Roman" w:hAnsi="Times New Roman" w:eastAsia="宋体"/>
          <w:b w:val="0"/>
          <w:i w:val="0"/>
          <w:sz w:val="24"/>
        </w:rPr>
        <w:t>This tier measures structural compliance only. Clause coverage in particular records how many clauses a document cites, not whether those clauses are implemented: a document stating merely that "internal quality control shall be performed in accordance with 7.3.1", without specifying an actual QC scheme, still counts as covering that clause. Tiers 2 and 3 fill this gap – the clause-coverage dimension of the rubric assigns a score of 1 when many clauses are cited but left unimplemented – so a high Tier 1 score does not mean a document is ready to be submitted for accreditation.</w:t>
      </w:r>
    </w:p>
    <w:p>
      <w:pPr>
        <w:spacing w:before="160" w:after="40" w:lineRule="auto" w:line="360"/>
        <w:jc w:val="left"/>
      </w:pPr>
      <w:r>
        <w:rPr>
          <w:rFonts w:ascii="Times New Roman" w:hAnsi="Times New Roman" w:eastAsia="宋体"/>
          <w:b/>
          <w:i w:val="0"/>
          <w:sz w:val="24"/>
        </w:rPr>
        <w:t>2.3.2 Tier 2 – LLM-as-judge</w:t>
      </w:r>
    </w:p>
    <w:p>
      <w:pPr>
        <w:spacing w:before="80" w:after="80" w:lineRule="auto" w:line="360"/>
        <w:ind w:firstLine="0"/>
        <w:jc w:val="both"/>
      </w:pPr>
      <w:r>
        <w:rPr>
          <w:rFonts w:ascii="Times New Roman" w:hAnsi="Times New Roman" w:eastAsia="宋体"/>
          <w:b w:val="0"/>
          <w:i w:val="0"/>
          <w:sz w:val="24"/>
        </w:rPr>
        <w:t>The two judges (Claude and GPT) each scored documents from both models, forming a 2 × 2 cross design that separates a judge's self-preference from genuine differences in quality. Claude Opus 4.6, in the role of a "CNAS chief assessor", scored each covered document once on the five dimensions of the shared rubric, run through Claude Code Agent sub-agents with temperature and max_tokens not set explicitly. The Claude judging was run in successive batches as the configuration set expanded, and for some batches only group-level means rather than document-level files were retained (Section 4.6), leaving 378 document-level ratings covering 77.8% of the 486 documents. GPT-5.4 used the same prompt, rubric, and 0–5 scale to rate all 486 documents once each (405 Claude-generated + 81 GPT-generated), with temperature = 0 and max_completion_tokens = 2,000, which differ from Tier 2a (Section 4.6); no output was truncated by the max_tokens cap (all 486 JSON files parsed successfully), and the per-document raw JSON is openly released. Together the two judges produced 864 ratings; the counts are unequal for the reason above, but all four 2 × 2 cells contained data, so the self-preference decomposition could still be performed. Supplementary Table S2 defines the 5-, 3-, and 1-point anchors (fully, partially, and severely non-compliant); the intermediate scores 4 and 2 fall between adjacent anchors, and 0 means the dimension could not be evaluated. These anchor descriptions were identical for all judges and experts.</w:t>
      </w:r>
    </w:p>
    <w:p>
      <w:pPr>
        <w:spacing w:before="160" w:after="40" w:lineRule="auto" w:line="360"/>
        <w:jc w:val="left"/>
      </w:pPr>
      <w:r>
        <w:rPr>
          <w:rFonts w:ascii="Times New Roman" w:hAnsi="Times New Roman" w:eastAsia="宋体"/>
          <w:b/>
          <w:i w:val="0"/>
          <w:sz w:val="24"/>
        </w:rPr>
        <w:t>2.3.3 Tier 3 – Expert review</w:t>
      </w:r>
    </w:p>
    <w:p>
      <w:pPr>
        <w:spacing w:before="80" w:after="80" w:lineRule="auto" w:line="360"/>
        <w:ind w:firstLine="0"/>
        <w:jc w:val="both"/>
      </w:pPr>
      <w:r>
        <w:rPr>
          <w:rFonts w:ascii="Times New Roman" w:hAnsi="Times New Roman" w:eastAsia="宋体"/>
          <w:b w:val="0"/>
          <w:i w:val="0"/>
          <w:sz w:val="24"/>
        </w:rPr>
        <w:t>Three qualified ISO 15189 internal auditors independently scored 10 blinded, stratified-randomly sampled documents on the same five dimensions. All three raters are authors of this paper and work at the same institution: Rater 1 was the first author, Rater 2 was Lan Yang, and Rater 3 was Xinying Chen. They scored independently, without communicating and without seeing one another's ratings; to avoid self-influence, Rater 1 viewed the Tier 1/2 scores only after all three rater sheets had been submitted. Written informed consent was obtained from Raters 2 and 3 before scoring, and during scoring the experts could freely consult ISO 15189:2022 and CNAS-CL02:2023. No formal pre-scoring calibration session was held (Section 4.6).</w:t>
      </w:r>
    </w:p>
    <w:p>
      <w:pPr>
        <w:spacing w:before="80" w:after="80" w:lineRule="auto" w:line="360"/>
        <w:ind w:firstLine="0"/>
        <w:jc w:val="both"/>
      </w:pPr>
      <w:r>
        <w:rPr>
          <w:rFonts w:ascii="Times New Roman" w:hAnsi="Times New Roman" w:eastAsia="宋体"/>
          <w:b w:val="0"/>
          <w:i w:val="0"/>
          <w:sz w:val="24"/>
        </w:rPr>
        <w:t>The 10 documents were drawn from the 486-document pool by stratified random sampling with a fixed seed (seed = 42), stratified across seven configurations × the three Class A tasks (A1–A3), with one or two documents per realized stratum. Only Class A was sampled, as it is the most stable and representative document type in CNAS audits (Section 4.6); the seven configurations evaluated here are listed in Section 3.5. Blinding was performed with the open-source script prepare_blind_review.py: each document was renamed to an anonymous identifier, all model and configuration markers were removed from the text and verified, and the presentation order was randomized, identical for all three experts. The key linking documents to configurations was sealed until all rater sheets had been submitted.</w:t>
      </w:r>
    </w:p>
    <w:p>
      <w:pPr>
        <w:spacing w:before="200" w:after="80" w:lineRule="auto" w:line="360"/>
        <w:jc w:val="left"/>
      </w:pPr>
      <w:r>
        <w:rPr>
          <w:rFonts w:ascii="Times New Roman" w:hAnsi="Times New Roman" w:eastAsia="宋体"/>
          <w:b/>
          <w:i w:val="0"/>
          <w:sz w:val="24"/>
        </w:rPr>
        <w:t>2.4 Statistical analysis</w:t>
      </w:r>
    </w:p>
    <w:p>
      <w:pPr>
        <w:spacing w:before="160" w:after="40" w:lineRule="auto" w:line="360"/>
        <w:jc w:val="left"/>
      </w:pPr>
      <w:r>
        <w:rPr>
          <w:rFonts w:ascii="Times New Roman" w:hAnsi="Times New Roman" w:eastAsia="宋体"/>
          <w:b/>
          <w:i w:val="0"/>
          <w:sz w:val="24"/>
        </w:rPr>
        <w:t>2.4.1 Pairwise group comparisons and multiplicity correction</w:t>
      </w:r>
    </w:p>
    <w:p>
      <w:pPr>
        <w:spacing w:before="80" w:after="80" w:lineRule="auto" w:line="360"/>
        <w:ind w:firstLine="0"/>
        <w:jc w:val="both"/>
      </w:pPr>
      <w:r>
        <w:rPr>
          <w:rFonts w:ascii="Times New Roman" w:hAnsi="Times New Roman" w:eastAsia="宋体"/>
          <w:b w:val="0"/>
          <w:i w:val="0"/>
          <w:sz w:val="24"/>
        </w:rPr>
        <w:t>Pairwise comparisons between configurations used two-sided Mann–Whitney U tests on the GPT-judge scores for each document (n = 45 per configuration; 15 tasks × 3 replicates). Observations within a configuration share the 15 underlying tasks and are therefore not fully independent; the tests treat replicates as independent, a simplification. The task-class-stratified estimates (Table 2), in which the rules effect is consistent in direction across all three classes, argue against a task-driven artifact. Because the four component contrasts share configurations and are therefore not independent, multiplicity was controlled with the Benjamini–Hochberg FDR procedure (α = 0.05) rather than the more conservative Bonferroni, retaining more power while controlling the false-discovery rate. A 95% confidence interval for each effect estimate (Δ) was obtained by bootstrap (nonparametric percentile method, fixed seed, B = 10,000 resamples).</w:t>
      </w:r>
    </w:p>
    <w:p>
      <w:pPr>
        <w:spacing w:before="160" w:after="40" w:lineRule="auto" w:line="360"/>
        <w:jc w:val="left"/>
      </w:pPr>
      <w:r>
        <w:rPr>
          <w:rFonts w:ascii="Times New Roman" w:hAnsi="Times New Roman" w:eastAsia="宋体"/>
          <w:b/>
          <w:i w:val="0"/>
          <w:sz w:val="24"/>
        </w:rPr>
        <w:t>2.4.2 Quantification of configuration-component effects</w:t>
      </w:r>
    </w:p>
    <w:p>
      <w:pPr>
        <w:spacing w:before="80" w:after="80" w:lineRule="auto" w:line="360"/>
        <w:ind w:firstLine="0"/>
        <w:jc w:val="both"/>
      </w:pPr>
      <w:r>
        <w:rPr>
          <w:rFonts w:ascii="Times New Roman" w:hAnsi="Times New Roman" w:eastAsia="宋体"/>
          <w:b w:val="0"/>
          <w:i w:val="0"/>
          <w:sz w:val="24"/>
        </w:rPr>
        <w:t xml:space="preserve">Four pairs of configurations measured the four content components, each pair differing mainly in one component: </w:t>
      </w:r>
      <w:r>
        <w:rPr>
          <w:rFonts w:ascii="Times New Roman" w:hAnsi="Times New Roman" w:eastAsia="宋体"/>
          <w:b w:val="0"/>
          <w:i/>
          <w:sz w:val="24"/>
        </w:rPr>
        <w:t>rules</w:t>
      </w:r>
      <w:r>
        <w:rPr>
          <w:rFonts w:ascii="Times New Roman" w:hAnsi="Times New Roman" w:eastAsia="宋体"/>
          <w:b w:val="0"/>
          <w:i w:val="0"/>
          <w:sz w:val="24"/>
        </w:rPr>
        <w:t xml:space="preserve"> (E_rules_v2 vs A_bare), </w:t>
      </w:r>
      <w:r>
        <w:rPr>
          <w:rFonts w:ascii="Times New Roman" w:hAnsi="Times New Roman" w:eastAsia="宋体"/>
          <w:b w:val="0"/>
          <w:i/>
          <w:sz w:val="24"/>
        </w:rPr>
        <w:t>document skeleton</w:t>
      </w:r>
      <w:r>
        <w:rPr>
          <w:rFonts w:ascii="Times New Roman" w:hAnsi="Times New Roman" w:eastAsia="宋体"/>
          <w:b w:val="0"/>
          <w:i w:val="0"/>
          <w:sz w:val="24"/>
        </w:rPr>
        <w:t xml:space="preserve"> (H4_sop_only vs E_rules_v2), </w:t>
      </w:r>
      <w:r>
        <w:rPr>
          <w:rFonts w:ascii="Times New Roman" w:hAnsi="Times New Roman" w:eastAsia="宋体"/>
          <w:b w:val="0"/>
          <w:i/>
          <w:sz w:val="24"/>
        </w:rPr>
        <w:t>detailed content</w:t>
      </w:r>
      <w:r>
        <w:rPr>
          <w:rFonts w:ascii="Times New Roman" w:hAnsi="Times New Roman" w:eastAsia="宋体"/>
          <w:b w:val="0"/>
          <w:i w:val="0"/>
          <w:sz w:val="24"/>
        </w:rPr>
        <w:t xml:space="preserve"> (G_template_rules vs H3_skeleton), and </w:t>
      </w:r>
      <w:r>
        <w:rPr>
          <w:rFonts w:ascii="Times New Roman" w:hAnsi="Times New Roman" w:eastAsia="宋体"/>
          <w:b w:val="0"/>
          <w:i/>
          <w:sz w:val="24"/>
        </w:rPr>
        <w:t>worked examples</w:t>
      </w:r>
      <w:r>
        <w:rPr>
          <w:rFonts w:ascii="Times New Roman" w:hAnsi="Times New Roman" w:eastAsia="宋体"/>
          <w:b w:val="0"/>
          <w:i w:val="0"/>
          <w:sz w:val="24"/>
        </w:rPr>
        <w:t xml:space="preserve"> (H2_keep_examples vs G_template_rules). The effect of each component (Δ) is the difference between the two configurations' mean scores, expressed on the raw 0–5 scale without standardization, with a bootstrap 95% CI (Table 2). We deliberately used this direct pairwise contrast rather than a more elaborate statistical model because it is the easiest to interpret. The nine configurations are not a Taguchi L9 orthogonal array but a structured subset of the four-dimensional configuration space, selected to isolate each dimension through these contrasts rather than to satisfy orthogonal-balance criteria; the Δ estimates therefore correspond only to those specific pairs.</w:t>
      </w:r>
    </w:p>
    <w:p>
      <w:pPr>
        <w:spacing w:before="160" w:after="40" w:lineRule="auto" w:line="360"/>
        <w:jc w:val="left"/>
      </w:pPr>
      <w:r>
        <w:rPr>
          <w:rFonts w:ascii="Times New Roman" w:hAnsi="Times New Roman" w:eastAsia="宋体"/>
          <w:b/>
          <w:i w:val="0"/>
          <w:sz w:val="24"/>
        </w:rPr>
        <w:t>2.4.3 Inter-rater agreement</w:t>
      </w:r>
    </w:p>
    <w:p>
      <w:pPr>
        <w:spacing w:before="80" w:after="80" w:lineRule="auto" w:line="360"/>
        <w:ind w:firstLine="0"/>
        <w:jc w:val="both"/>
      </w:pPr>
      <w:r>
        <w:rPr>
          <w:rFonts w:ascii="Times New Roman" w:hAnsi="Times New Roman" w:eastAsia="宋体"/>
          <w:b w:val="0"/>
          <w:i w:val="0"/>
          <w:sz w:val="24"/>
        </w:rPr>
        <w:t>Inter-rater agreement was reported using Pearson correlation, Spearman correlation, and intraclass correlation coefficients (ICCs, following the Shrout–Fleiss framework [11]), all computed with the pingouin Python library. Pairwise comparisons (expert mean vs each LLM judge, and comparisons within the expert panel) used the single-rater variants ICC(2,1) and ICC(3,1), whereas the overall reliability of the three-expert panel used the averaged variants ICC(2,k) and ICC(3,k) (k = 3). The reasoning is that panel reliability asks whether the three experts' average score is dependable, hence the averaged variants, whereas judge–expert comparison asks whether a single judge can reproduce the experts' ranking, hence the single-rater consistency variant ICC(3,1). The consistency form tolerates a wholesale offset between the two sets of scores, and that offset – the LLM judges' systematic overestimation – is reported separately in Section 3.5.</w:t>
      </w:r>
    </w:p>
    <w:p>
      <w:pPr>
        <w:spacing w:before="160" w:after="40" w:lineRule="auto" w:line="360"/>
        <w:jc w:val="left"/>
      </w:pPr>
      <w:r>
        <w:rPr>
          <w:rFonts w:ascii="Times New Roman" w:hAnsi="Times New Roman" w:eastAsia="宋体"/>
          <w:b/>
          <w:i w:val="0"/>
          <w:sz w:val="24"/>
        </w:rPr>
        <w:t>2.4.4 Self-preference bias</w:t>
      </w:r>
    </w:p>
    <w:p>
      <w:pPr>
        <w:spacing w:before="80" w:after="80" w:lineRule="auto" w:line="360"/>
        <w:ind w:firstLine="0"/>
        <w:jc w:val="both"/>
      </w:pPr>
      <w:r>
        <w:rPr>
          <w:rFonts w:ascii="Times New Roman" w:hAnsi="Times New Roman" w:eastAsia="宋体"/>
          <w:b w:val="0"/>
          <w:i w:val="0"/>
          <w:sz w:val="24"/>
        </w:rPr>
        <w:t>For each model M (Claude or GPT) acting as judge, self-preference bias was computed following Panickssery et al. [10]:</w:t>
      </w:r>
    </w:p>
    <w:p>
      <w:pPr>
        <w:spacing w:before="80" w:after="80" w:lineRule="auto" w:line="360"/>
        <w:ind w:firstLine="0"/>
        <w:jc w:val="both"/>
      </w:pPr>
      <w:r>
        <w:rPr>
          <w:rFonts w:ascii="Times New Roman" w:hAnsi="Times New Roman" w:eastAsia="宋体"/>
          <w:b w:val="0"/>
          <w:i w:val="0"/>
          <w:sz w:val="24"/>
        </w:rPr>
        <w:t>bias_M = mean(judge = M, generator = M) − mean(judge = M, generator = M′),</w:t>
      </w:r>
    </w:p>
    <w:p>
      <w:pPr>
        <w:spacing w:before="80" w:after="80" w:lineRule="auto" w:line="360"/>
        <w:ind w:firstLine="0"/>
        <w:jc w:val="both"/>
      </w:pPr>
      <w:r>
        <w:rPr>
          <w:rFonts w:ascii="Times New Roman" w:hAnsi="Times New Roman" w:eastAsia="宋体"/>
          <w:b w:val="0"/>
          <w:i w:val="0"/>
          <w:sz w:val="24"/>
        </w:rPr>
        <w:t>where M′ is the other model; positive values mean judge M scores its own documents higher. As a sensitivity check, we recomputed the bias using an alternative formulation (same generator, different judges), obtaining +0.464 (Claude) and −0.472 (GPT), which agree in sign and direction with the classical estimates (+0.294 and −0.301) reported in Section 3.4.</w:t>
      </w:r>
    </w:p>
    <w:p>
      <w:pPr>
        <w:spacing w:before="280" w:after="120" w:lineRule="auto" w:line="360"/>
        <w:jc w:val="left"/>
      </w:pPr>
      <w:r>
        <w:rPr>
          <w:rFonts w:ascii="Times New Roman" w:hAnsi="Times New Roman" w:eastAsia="宋体"/>
          <w:b/>
          <w:i w:val="0"/>
          <w:sz w:val="24"/>
        </w:rPr>
        <w:t>3. Results</w:t>
      </w:r>
    </w:p>
    <w:p>
      <w:pPr>
        <w:spacing w:before="200" w:after="80" w:lineRule="auto" w:line="360"/>
        <w:jc w:val="left"/>
      </w:pPr>
      <w:r>
        <w:rPr>
          <w:rFonts w:ascii="Times New Roman" w:hAnsi="Times New Roman" w:eastAsia="宋体"/>
          <w:b/>
          <w:i w:val="0"/>
          <w:sz w:val="24"/>
        </w:rPr>
        <w:t>3.1 Configuration ranking under the combined automated and LLM-judge evaluation</w:t>
      </w:r>
    </w:p>
    <w:p>
      <w:pPr>
        <w:spacing w:before="80" w:after="80" w:lineRule="auto" w:line="360"/>
        <w:ind w:firstLine="0"/>
        <w:jc w:val="both"/>
      </w:pPr>
      <w:r>
        <w:rPr>
          <w:rFonts w:ascii="Times New Roman" w:hAnsi="Times New Roman" w:eastAsia="宋体"/>
          <w:b w:val="0"/>
          <w:i w:val="0"/>
          <w:sz w:val="24"/>
        </w:rPr>
        <w:t>We ranked the nine configurations across the 405 Claude-generated documents using a composite score (Table 1). The composite score combines the Tier 1 automated mean and the Tier 2 LLM-judge mean (averaged across the Claude and GPT judges), each min-max normalized to [0, 1] across the nine configurations and then averaged with equal weight. H4_sop_only achieved the highest composite score at only ~2,000 tokens, far below the template-anchored configurations and C_full (~56,000 tokens); as Section 3.5 shows, however, this ranking does not survive expert evaluation.</w:t>
      </w:r>
    </w:p>
    <w:p>
      <w:pPr>
        <w:spacing w:before="120" w:after="40" w:lineRule="auto" w:line="360"/>
        <w:ind w:firstLine="0"/>
        <w:jc w:val="center"/>
      </w:pPr>
      <w:r>
        <w:rPr>
          <w:rFonts w:ascii="Times New Roman" w:hAnsi="Times New Roman" w:eastAsia="宋体"/>
          <w:b/>
          <w:i w:val="0"/>
          <w:sz w:val="24"/>
        </w:rPr>
        <w:t>Table 1. Composite ranking of the nine configurations.</w:t>
      </w:r>
    </w:p>
    <w:tbl>
      <w:tblPr>
        <w:tblW w:type="auto" w:w="0"/>
        <w:jc w:val="center"/>
        <w:tblLayout w:type="autofit"/>
        <w:tblLook w:firstColumn="1" w:firstRow="1" w:lastColumn="0" w:lastRow="0" w:noHBand="0" w:noVBand="1" w:val="04A0"/>
      </w:tblPr>
      <w:tblGrid>
        <w:gridCol w:w="2946"/>
        <w:gridCol w:w="2946"/>
        <w:gridCol w:w="2946"/>
      </w:tblGrid>
      <w:tr>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Configuration</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System-prompt size</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Composite score</w:t>
            </w:r>
          </w:p>
        </w:tc>
      </w:tr>
      <w:tr>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H4_sop_only</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~2,000 tokens</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0.994</w:t>
            </w:r>
          </w:p>
        </w:tc>
      </w:tr>
      <w:tr>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H3_skeleton</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~5,000 tokens</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0.869</w:t>
            </w:r>
          </w:p>
        </w:tc>
      </w:tr>
      <w:tr>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G_template_rules</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~16,000 tokens</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0.851</w:t>
            </w:r>
          </w:p>
        </w:tc>
      </w:tr>
      <w:tr>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H2_keep_examples</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~25,000 tokens</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0.759</w:t>
            </w:r>
          </w:p>
        </w:tc>
      </w:tr>
      <w:tr>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E_rules_v2</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~1,200 tokens</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0.729</w:t>
            </w:r>
          </w:p>
        </w:tc>
      </w:tr>
      <w:tr>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C_full</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~56,000 tokens</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0.493</w:t>
            </w:r>
          </w:p>
        </w:tc>
      </w:tr>
      <w:tr>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F_template</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~15,000 tokens</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0.345</w:t>
            </w:r>
          </w:p>
        </w:tc>
      </w:tr>
      <w:tr>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B_simple</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~300 tokens</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0.227</w:t>
            </w:r>
          </w:p>
        </w:tc>
      </w:tr>
      <w:tr>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A_bare</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 tokens</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0.000</w:t>
            </w:r>
          </w:p>
        </w:tc>
      </w:tr>
    </w:tbl>
    <w:p/>
    <w:p>
      <w:pPr>
        <w:spacing w:before="200" w:after="80" w:lineRule="auto" w:line="360"/>
        <w:jc w:val="left"/>
      </w:pPr>
      <w:r>
        <w:rPr>
          <w:rFonts w:ascii="Times New Roman" w:hAnsi="Times New Roman" w:eastAsia="宋体"/>
          <w:b/>
          <w:i w:val="0"/>
          <w:sz w:val="24"/>
        </w:rPr>
        <w:t>3.2 Four-component substitution-contrast ablation</w:t>
      </w:r>
    </w:p>
    <w:p>
      <w:pPr>
        <w:spacing w:before="80" w:after="80" w:lineRule="auto" w:line="360"/>
        <w:ind w:firstLine="0"/>
        <w:jc w:val="both"/>
      </w:pPr>
      <w:r>
        <w:rPr>
          <w:rFonts w:ascii="Times New Roman" w:hAnsi="Times New Roman" w:eastAsia="宋体"/>
          <w:b w:val="0"/>
          <w:i w:val="0"/>
          <w:sz w:val="24"/>
        </w:rPr>
        <w:t>The ablation effects of the four components are summarized in Table 2.</w:t>
      </w:r>
    </w:p>
    <w:p>
      <w:pPr>
        <w:spacing w:before="120" w:after="40" w:lineRule="auto" w:line="360"/>
        <w:ind w:firstLine="0"/>
        <w:jc w:val="center"/>
      </w:pPr>
      <w:r>
        <w:rPr>
          <w:rFonts w:ascii="Times New Roman" w:hAnsi="Times New Roman" w:eastAsia="宋体"/>
          <w:b/>
          <w:i w:val="0"/>
          <w:sz w:val="24"/>
        </w:rPr>
        <w:t>Table 2. Ablation effects of the four prompt components (Tier 2b GPT-judge ratings; the two configurations in each contrast are given in Section 2.4.2).</w:t>
      </w:r>
    </w:p>
    <w:tbl>
      <w:tblPr>
        <w:tblW w:type="auto" w:w="0"/>
        <w:jc w:val="center"/>
        <w:tblLayout w:type="autofit"/>
        <w:tblLook w:firstColumn="1" w:firstRow="1" w:lastColumn="0" w:lastRow="0" w:noHBand="0" w:noVBand="1" w:val="04A0"/>
      </w:tblPr>
      <w:tblGrid>
        <w:gridCol w:w="1263"/>
        <w:gridCol w:w="1263"/>
        <w:gridCol w:w="1263"/>
        <w:gridCol w:w="1263"/>
        <w:gridCol w:w="1263"/>
        <w:gridCol w:w="1263"/>
        <w:gridCol w:w="1263"/>
      </w:tblGrid>
      <w:tr>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Component</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Δ (all tasks)</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95% CI</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BH-adjusted p</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Δ_A Authoring</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Δ_B Operation</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Δ_C Audit</w:t>
            </w:r>
          </w:p>
        </w:tc>
      </w:tr>
      <w:tr>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rules</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+0.511</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(+0.28, +0.75)</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&lt;0.001</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+0.507</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+0.613</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+0.413</w:t>
            </w:r>
          </w:p>
        </w:tc>
      </w:tr>
      <w:tr>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document skeleton</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+0.213</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(+0.05, +0.39)</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0.11</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+0.347</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+0.187</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+0.107</w:t>
            </w:r>
          </w:p>
        </w:tc>
      </w:tr>
      <w:tr>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detailed content</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−0.031</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(−0.19, +0.12)</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0.79</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+0.107</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+0.053</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−0.253</w:t>
            </w:r>
          </w:p>
        </w:tc>
      </w:tr>
      <w:tr>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worked examples</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−0.053</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(−0.21, +0.11)</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0.61</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−0.080</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−0.173</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+0.093</w:t>
            </w:r>
          </w:p>
        </w:tc>
      </w:tr>
    </w:tbl>
    <w:p/>
    <w:p>
      <w:pPr>
        <w:spacing w:before="40" w:after="120" w:lineRule="auto" w:line="240"/>
        <w:ind w:firstLine="0"/>
        <w:jc w:val="both"/>
      </w:pPr>
      <w:r>
        <w:rPr>
          <w:rFonts w:ascii="Times New Roman" w:hAnsi="Times New Roman" w:eastAsia="宋体"/>
          <w:b w:val="0"/>
          <w:i w:val="0"/>
          <w:sz w:val="24"/>
        </w:rPr>
        <w:t>The three right-hand columns give Δ stratified by task class (n = 15 per cell: 5 tasks × 3 replicates). These stratified Δ values, and the by-dimension Δ decomposition in Section 3.2, are descriptive point estimates without CIs or significance tests; CIs and adjusted p-values for the main effects are given in the left-hand columns.</w:t>
      </w:r>
    </w:p>
    <w:p>
      <w:pPr>
        <w:spacing w:before="80" w:after="80" w:lineRule="auto" w:line="360"/>
        <w:ind w:firstLine="0"/>
        <w:jc w:val="both"/>
      </w:pPr>
      <w:r>
        <w:rPr>
          <w:rFonts w:ascii="Times New Roman" w:hAnsi="Times New Roman" w:eastAsia="宋体"/>
          <w:b w:val="0"/>
          <w:i w:val="0"/>
          <w:sz w:val="24"/>
        </w:rPr>
        <w:t>Only rules remained significant after multiplicity correction [BH-adjusted p &lt; 0.001]. The document-skeleton effect was directionally positive with a bootstrap CI excluding zero, but the rank-based test was not significant [BH-adjusted p = 0.11], so we treat it as suggestive only; neither detailed content nor worked examples had a detectable effect. A supplementary contrast showed that H4_sop_only (a single SOP skeleton) and H3_skeleton (the full module skeleton) performed comparably [Δ = −0.009]. Stratified by task class (Table 2, right-hand columns), the rules effect was consistent in direction and magnitude across all three classes (+0.41 to +0.61) and did not reverse, whereas the other components fluctuated and were far smaller.</w:t>
      </w:r>
    </w:p>
    <w:p>
      <w:pPr>
        <w:spacing w:before="80" w:after="80" w:lineRule="auto" w:line="360"/>
        <w:ind w:firstLine="0"/>
        <w:jc w:val="both"/>
      </w:pPr>
      <w:r>
        <w:rPr>
          <w:rFonts w:ascii="Times New Roman" w:hAnsi="Times New Roman" w:eastAsia="宋体"/>
          <w:b w:val="0"/>
          <w:i w:val="0"/>
          <w:sz w:val="24"/>
        </w:rPr>
        <w:t>Decomposed by scoring dimension (GPT judge; n = 45 per configuration), the rules effect was largest for operability (+0.867) and professional depth (+0.644), and smaller for clause coverage (+0.400), PDCA closure (+0.333), and internal consistency (+0.311). The two largest gains thus fall on operability and professional depth rather than on the format- and structure-oriented dimensions, indicating that a rules constraint does not merely regularize a document's outward form but also increases the laboratory-specific technical detail written into it. This decomposition is by scoring dimension, not by document type: "professional depth" is only a proxy for technical specificity (Supplementary Table S2), and a genuine stratification by document type cannot be performed here because the task set contains no technical documents (Section 4.6). These results apply only to the LLM-judge tier; the expert-tier comparisons appear in Section 3.5.</w:t>
      </w:r>
    </w:p>
    <w:p>
      <w:pPr>
        <w:spacing w:before="200" w:after="80" w:lineRule="auto" w:line="360"/>
        <w:jc w:val="left"/>
      </w:pPr>
      <w:r>
        <w:rPr>
          <w:rFonts w:ascii="Times New Roman" w:hAnsi="Times New Roman" w:eastAsia="宋体"/>
          <w:b/>
          <w:i w:val="0"/>
          <w:sz w:val="24"/>
        </w:rPr>
        <w:t>3.3 2 × 2 symmetric cross-model validation</w:t>
      </w:r>
    </w:p>
    <w:p>
      <w:pPr>
        <w:spacing w:before="80" w:after="80" w:lineRule="auto" w:line="360"/>
        <w:ind w:firstLine="0"/>
        <w:jc w:val="both"/>
      </w:pPr>
      <w:r>
        <w:rPr>
          <w:rFonts w:ascii="Times New Roman" w:hAnsi="Times New Roman" w:eastAsia="宋体"/>
          <w:b w:val="0"/>
          <w:i w:val="0"/>
          <w:sz w:val="24"/>
        </w:rPr>
        <w:t>Figure 2 shows the 2 × 2 symmetric design: both models generated documents that were then scored by both judges, across 9 configurations × three tasks (A1, B1, C1) × three replicates per cell. Both models ran on the same three tasks, so the comparison is task-matched and configuration effects are not confounded with task effects, although generalization to other tasks remains limited (Section 4.6). The most striking finding is that C_full (~56,000 tokens) dropped sharply when generated by GPT-5.4: the Claude judge gave 1.40 and the GPT judge 1.84, whereas the same configuration generated by Claude scored 3.22–4.56. The ~56,000-token full-context configuration is therefore specific to Claude and did not transfer to GPT-5.4 under the parameters tested.</w:t>
      </w:r>
    </w:p>
    <w:p>
      <w:pPr>
        <w:spacing w:before="80" w:after="80" w:lineRule="auto" w:line="360"/>
        <w:ind w:firstLine="0"/>
        <w:jc w:val="both"/>
      </w:pPr>
      <w:r>
        <w:rPr>
          <w:rFonts w:ascii="Times New Roman" w:hAnsi="Times New Roman" w:eastAsia="宋体"/>
          <w:b w:val="0"/>
          <w:i w:val="0"/>
          <w:sz w:val="24"/>
        </w:rPr>
        <w:t>We inspected the GPT-generated C_full outputs document by document and found three recurrent problems: (i) declining instruction-following – constraints stated at the start of the system prompt were no longer applied in the later part of the output; (ii) structural breakdown – disordered sections, missing required headings, or numbering errors; and (iii) clause-citation confusion – incorrect, mismatched, or even fabricated ISO 15189:2022 clause identifiers. None of these problems appeared in the corresponding Claude outputs.</w:t>
      </w:r>
    </w:p>
    <w:p>
      <w:pPr>
        <w:spacing w:before="200" w:after="80" w:lineRule="auto" w:line="360"/>
        <w:jc w:val="left"/>
      </w:pPr>
      <w:r>
        <w:rPr>
          <w:rFonts w:ascii="Times New Roman" w:hAnsi="Times New Roman" w:eastAsia="宋体"/>
          <w:b/>
          <w:i w:val="0"/>
          <w:sz w:val="24"/>
        </w:rPr>
        <w:t>3.4 Apparent self-preference of LLM judges</w:t>
      </w:r>
    </w:p>
    <w:p>
      <w:pPr>
        <w:spacing w:before="80" w:after="80" w:lineRule="auto" w:line="360"/>
        <w:ind w:firstLine="0"/>
        <w:jc w:val="both"/>
      </w:pPr>
      <w:r>
        <w:rPr>
          <w:rFonts w:ascii="Times New Roman" w:hAnsi="Times New Roman" w:eastAsia="宋体"/>
          <w:b w:val="0"/>
          <w:i w:val="0"/>
          <w:sz w:val="24"/>
        </w:rPr>
        <w:t>The self-preference biases (Section 2.4.4) had opposite signs but pointed to the same thing: across all nine configurations the Claude judge scored +0.294 and the GPT judge −0.301, meaning both judges rated Claude-generated documents about 0.3 points higher. Excluding C_full, both biases collapsed toward zero (Claude −0.064; GPT −0.167), so the gap is driven mainly by C_full – the configuration where GPT broke down under long context (Section 3.3).</w:t>
      </w:r>
    </w:p>
    <w:p>
      <w:pPr>
        <w:spacing w:before="80" w:after="80" w:lineRule="auto" w:line="360"/>
        <w:ind w:firstLine="0"/>
        <w:jc w:val="both"/>
      </w:pPr>
      <w:r>
        <w:rPr>
          <w:rFonts w:ascii="Times New Roman" w:hAnsi="Times New Roman" w:eastAsia="宋体"/>
          <w:b w:val="0"/>
          <w:i w:val="0"/>
          <w:sz w:val="24"/>
        </w:rPr>
        <w:t>This opposite-signed pattern does not match classical self-preference, which would produce positive biases for both judges. Two non-exclusive explanations are compatible with it: (a) a genuine generation-quality difference between Claude and GPT (consistent with GPT's C_full breakdown); and (b) a shared preference of both judges for Claude's phrasing or formatting. Because the expert sample (n = 10) was entirely Claude-generated, this study cannot distinguish the two (Section 4.6).</w:t>
      </w:r>
    </w:p>
    <w:p>
      <w:pPr>
        <w:spacing w:before="80" w:after="80" w:lineRule="auto" w:line="360"/>
        <w:ind w:firstLine="0"/>
        <w:jc w:val="both"/>
      </w:pPr>
      <w:r>
        <w:rPr>
          <w:rFonts w:ascii="Times New Roman" w:hAnsi="Times New Roman" w:eastAsia="宋体"/>
          <w:b w:val="0"/>
          <w:i w:val="0"/>
          <w:sz w:val="24"/>
        </w:rPr>
        <w:t>To remove this effect we re-ranked the configurations using cross-model scores only (each judge scoring the other model's documents). The top four (G_template_rules, H3_skeleton, E_rules_v2, H4_sop_only) then lay within 0.11 points of one another and were statistically indistinguishable, whereas C_full fell from sixth to ninth (last). C_full's relatively high LLM-judge score therefore rested on the Claude judge over-rating its own output and on GPT being unable to produce usable output at ~56,000 tokens.</w:t>
      </w:r>
    </w:p>
    <w:p>
      <w:pPr>
        <w:spacing w:before="200" w:after="80" w:lineRule="auto" w:line="360"/>
        <w:jc w:val="left"/>
      </w:pPr>
      <w:r>
        <w:rPr>
          <w:rFonts w:ascii="Times New Roman" w:hAnsi="Times New Roman" w:eastAsia="宋体"/>
          <w:b/>
          <w:i w:val="0"/>
          <w:sz w:val="24"/>
        </w:rPr>
        <w:t>3.5 Expert-tier validation</w:t>
      </w:r>
    </w:p>
    <w:p>
      <w:pPr>
        <w:spacing w:before="80" w:after="80" w:lineRule="auto" w:line="360"/>
        <w:ind w:firstLine="0"/>
        <w:jc w:val="both"/>
      </w:pPr>
      <w:r>
        <w:rPr>
          <w:rFonts w:ascii="Times New Roman" w:hAnsi="Times New Roman" w:eastAsia="宋体"/>
          <w:b w:val="0"/>
          <w:i w:val="0"/>
          <w:sz w:val="24"/>
        </w:rPr>
        <w:t>Inter-rater agreement among the three experts was excellent: ICC(2,k) = 0.982 [95% CI (0.95, 1.00)], with all pairwise comparisons above 0.92 ("excellent" by the Cicchetti benchmark [12]). The five-dimensional rubric was therefore highly reproducible across raters, although all three came from the same institution, so this agreement may exceed what holds across institutions (Section 4.6).</w:t>
      </w:r>
    </w:p>
    <w:p>
      <w:pPr>
        <w:spacing w:before="80" w:after="80" w:lineRule="auto" w:line="360"/>
        <w:ind w:firstLine="0"/>
        <w:jc w:val="both"/>
      </w:pPr>
      <w:r>
        <w:rPr>
          <w:rFonts w:ascii="Times New Roman" w:hAnsi="Times New Roman" w:eastAsia="宋体"/>
          <w:b w:val="0"/>
          <w:i w:val="0"/>
          <w:sz w:val="24"/>
        </w:rPr>
        <w:t>Agreement between the experts and the two LLM judges was markedly lower (Figure 3): ICC(3,1) = 0.548 [95% CI (−0.08, 0.86), p = 0.04] for the Claude judge and only 0.217 [95% CI (−0.44, 0.72), p = 0.26] for the GPT judge. Both intervals cross zero and n is only 10, so these two agreement coefficients can serve only as directional indications and do not support firm statistical conclusions. Both judges also systematically scored compliance higher than the experts – by 0.905 points (Claude) and 0.525 points (GPT). Claude–expert agreement was therefore moderate, and GPT–expert agreement poor.</w:t>
      </w:r>
    </w:p>
    <w:p>
      <w:pPr>
        <w:spacing w:before="80" w:after="80" w:lineRule="auto" w:line="360"/>
        <w:ind w:firstLine="0"/>
        <w:jc w:val="both"/>
      </w:pPr>
      <w:r>
        <w:rPr>
          <w:rFonts w:ascii="Times New Roman" w:hAnsi="Times New Roman" w:eastAsia="宋体"/>
          <w:b w:val="0"/>
          <w:i w:val="0"/>
          <w:sz w:val="24"/>
        </w:rPr>
        <w:t>The ranking of the seven configurations is given in Table 3, and is almost the reverse of the LLM-judge tier (Figure 4b).</w:t>
      </w:r>
    </w:p>
    <w:p>
      <w:pPr>
        <w:spacing w:before="120" w:after="40" w:lineRule="auto" w:line="360"/>
        <w:ind w:firstLine="0"/>
        <w:jc w:val="center"/>
      </w:pPr>
      <w:r>
        <w:rPr>
          <w:rFonts w:ascii="Times New Roman" w:hAnsi="Times New Roman" w:eastAsia="宋体"/>
          <w:b/>
          <w:i w:val="0"/>
          <w:sz w:val="24"/>
        </w:rPr>
        <w:t>Table 3. Scores for the seven sampled configurations (0–5 scale; sorted by expert mean; 1–2 documents per configuration).</w:t>
      </w:r>
    </w:p>
    <w:tbl>
      <w:tblPr>
        <w:tblW w:type="auto" w:w="0"/>
        <w:jc w:val="center"/>
        <w:tblLayout w:type="autofit"/>
        <w:tblLook w:firstColumn="1" w:firstRow="1" w:lastColumn="0" w:lastRow="0" w:noHBand="0" w:noVBand="1" w:val="04A0"/>
      </w:tblPr>
      <w:tblGrid>
        <w:gridCol w:w="1768"/>
        <w:gridCol w:w="1768"/>
        <w:gridCol w:w="1768"/>
        <w:gridCol w:w="1768"/>
        <w:gridCol w:w="1768"/>
      </w:tblGrid>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Configuration</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Expert mean</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Claude judge</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GPT judge</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n</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F_template</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4.24</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4.60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4.00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1</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H2_keep_examples</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4.07</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4.40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4.00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1</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G_template_rules</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4.06</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4.80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4.50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2</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C_full</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3.45</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4.90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4.00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2</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H4_sop_only</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3.20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4.30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4.20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2</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E_rules_v2</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3.19</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4.00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4.00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1</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A_bare</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3.04</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4.00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3.80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1</w:t>
            </w:r>
          </w:p>
        </w:tc>
      </w:tr>
    </w:tbl>
    <w:p/>
    <w:p>
      <w:pPr>
        <w:spacing w:before="80" w:after="80" w:lineRule="auto" w:line="360"/>
        <w:ind w:firstLine="0"/>
        <w:jc w:val="both"/>
      </w:pPr>
      <w:r>
        <w:rPr>
          <w:rFonts w:ascii="Times New Roman" w:hAnsi="Times New Roman" w:eastAsia="宋体"/>
          <w:b w:val="0"/>
          <w:i w:val="0"/>
          <w:sz w:val="24"/>
        </w:rPr>
        <w:t>The top three are all template-anchored (F_template, H2_keep_examples, G_template_rules; expert means 4.06–4.24), whereas H4_sop_only – ranked first at the LLM-judge tier – fell to fifth, only 0.16 points above the no-prompt baseline A_bare. The most overestimated were C_full and H4_sop_only (about 1 point above the experts): both comply in structure and terminology but lack the clinically grounded operational detail that only experts detect. The token-efficient advantage of skeleton configurations at the LLM-judge tier is therefore not borne out under expert evaluation. With only 1–2 documents per configuration, this ranking is preliminary.</w:t>
      </w:r>
    </w:p>
    <w:p>
      <w:pPr>
        <w:spacing w:before="200" w:after="80" w:lineRule="auto" w:line="360"/>
        <w:jc w:val="left"/>
      </w:pPr>
      <w:r>
        <w:rPr>
          <w:rFonts w:ascii="Times New Roman" w:hAnsi="Times New Roman" w:eastAsia="宋体"/>
          <w:b/>
          <w:i w:val="0"/>
          <w:sz w:val="24"/>
        </w:rPr>
        <w:t>3.6 Token size and compliance scores: divergent relationships across evaluation tiers</w:t>
      </w:r>
    </w:p>
    <w:p>
      <w:pPr>
        <w:spacing w:before="80" w:after="80" w:lineRule="auto" w:line="360"/>
        <w:ind w:firstLine="0"/>
        <w:jc w:val="both"/>
      </w:pPr>
      <w:r>
        <w:rPr>
          <w:rFonts w:ascii="Times New Roman" w:hAnsi="Times New Roman" w:eastAsia="宋体"/>
          <w:b w:val="0"/>
          <w:i w:val="0"/>
          <w:sz w:val="24"/>
        </w:rPr>
        <w:t>Figure 4a plots the compliance scores of all three evaluators (experts, Claude judge, GPT judge) against system-prompt token size, all based on the same n = 10 expert-blinded subset. The three curves diverge: both LLM judges scored the low-token configurations and C_full highly, whereas the experts scored highest only in the mid-range template configurations (~15,000–16,000 tokens; F_template, G_template_rules), with both ends of the curve declining markedly.</w:t>
      </w:r>
    </w:p>
    <w:p>
      <w:pPr>
        <w:spacing w:before="80" w:after="80" w:lineRule="auto" w:line="360"/>
        <w:ind w:firstLine="0"/>
        <w:jc w:val="both"/>
      </w:pPr>
      <w:r>
        <w:rPr>
          <w:rFonts w:ascii="Times New Roman" w:hAnsi="Times New Roman" w:eastAsia="宋体"/>
          <w:b w:val="0"/>
          <w:i w:val="0"/>
          <w:sz w:val="24"/>
        </w:rPr>
        <w:t>The expert–judge divergence therefore follows a descriptive U-shaped pattern (no test of non-linearity was performed, given the sample size): at the low-token end (A_bare, E_rules_v2, H4_sop_only) and the high-token end (C_full) the gap reaches 0.8–1.1 points, whereas in the mid-range template region the two converge (gap ≤ 0.6). This indicates that token efficiency and clinical usability correspond to two different optimization objectives – relative to the expert-validated compliance, the LLM-judge tier overestimated both the low-token configurations and C_full.</w:t>
      </w:r>
    </w:p>
    <w:p>
      <w:pPr>
        <w:spacing w:before="80" w:after="80" w:lineRule="auto" w:line="360"/>
        <w:ind w:firstLine="0"/>
        <w:jc w:val="both"/>
      </w:pPr>
      <w:r>
        <w:rPr>
          <w:rFonts w:ascii="Times New Roman" w:hAnsi="Times New Roman" w:eastAsia="宋体"/>
          <w:b w:val="0"/>
          <w:i w:val="0"/>
          <w:sz w:val="24"/>
        </w:rPr>
        <w:t>Framed in terms of efficiency, the answer to research question (ii) turns not on absolute token count but on compliance return per added token. Only rules produced a definite gain (Section 3.2) and take only ~1,000 tokens, so the per-token return is highest when rules are added and falls off quickly thereafter. The expert tier presents a different trade-off: template-anchored configurations (~15,000–16,000 tokens) yield a lower per-token return yet reach a higher absolute score that rules alone cannot, whereas C_full has the lowest return of all. The "minimum tokens required" therefore depends on the use case – ~1,000 tokens of rules for rapid LLM-judged drafting, ~15,000–16,000 tokens for documents that must pass expert review. With only 1–2 expert-scored documents per configuration, this comparison is qualitative.</w:t>
      </w:r>
    </w:p>
    <w:p>
      <w:pPr>
        <w:spacing w:before="280" w:after="120" w:lineRule="auto" w:line="360"/>
        <w:jc w:val="left"/>
      </w:pPr>
      <w:r>
        <w:rPr>
          <w:rFonts w:ascii="Times New Roman" w:hAnsi="Times New Roman" w:eastAsia="宋体"/>
          <w:b/>
          <w:i w:val="0"/>
          <w:sz w:val="24"/>
        </w:rPr>
        <w:t>4. Discussion</w:t>
      </w:r>
    </w:p>
    <w:p>
      <w:pPr>
        <w:spacing w:before="80" w:after="80" w:lineRule="auto" w:line="360"/>
        <w:ind w:firstLine="0"/>
        <w:jc w:val="both"/>
      </w:pPr>
      <w:r>
        <w:rPr>
          <w:rFonts w:ascii="Times New Roman" w:hAnsi="Times New Roman" w:eastAsia="宋体"/>
          <w:b w:val="0"/>
          <w:i w:val="0"/>
          <w:sz w:val="24"/>
        </w:rPr>
        <w:t>This study evaluated LLM-assisted drafting of ISO 15189 quality management system documentation across nine prompt configurations, two generation models, two LLM judges, and a small blinded expert-reviewed subset. The main finding is that the best-performing prompt configuration depended on the evaluation tier. Minimal rule- or skeleton-based prompts were favored by automated and LLM-based scoring, whereas template-anchored prompts achieved higher mean scores in the expert-reviewed subset. In addition, the full-context configuration showed marked model- and runtime-dependent instability, and both LLM judges systematically overestimated expert ratings. Together, these findings suggest that LLMs can support drafting and preliminary screening of QMS documentation, but cannot replace expert review or local validation by competent laboratory personnel.</w:t>
      </w:r>
    </w:p>
    <w:p>
      <w:pPr>
        <w:spacing w:before="200" w:after="80" w:lineRule="auto" w:line="360"/>
        <w:jc w:val="left"/>
      </w:pPr>
      <w:r>
        <w:rPr>
          <w:rFonts w:ascii="Times New Roman" w:hAnsi="Times New Roman" w:eastAsia="宋体"/>
          <w:b/>
          <w:i w:val="0"/>
          <w:sz w:val="24"/>
        </w:rPr>
        <w:t>4.1 Prompt minimization holds at the LLM-judge tier but not at the expert tier</w:t>
      </w:r>
    </w:p>
    <w:p>
      <w:pPr>
        <w:spacing w:before="80" w:after="80" w:lineRule="auto" w:line="360"/>
        <w:ind w:firstLine="0"/>
        <w:jc w:val="both"/>
      </w:pPr>
      <w:r>
        <w:rPr>
          <w:rFonts w:ascii="Times New Roman" w:hAnsi="Times New Roman" w:eastAsia="宋体"/>
          <w:b w:val="0"/>
          <w:i w:val="0"/>
          <w:sz w:val="24"/>
        </w:rPr>
        <w:t>At the LLM-judge tier, the four-component ablation gives a clear account: the rules component was necessary [BH-adjusted p &lt; 0.001], the document-skeleton component was directionally positive but not significant [p = 0.11], and neither detailed content nor worked examples produced a detectable improvement (Section 3.2). This aligns with the lost-in-the-middle phenomenon reported by Liu et al. [13] (adding too much context to a long prompt can dilute model attention and degrade output quality) and with the prompt-engineering literature more broadly [6].</w:t>
      </w:r>
    </w:p>
    <w:p>
      <w:pPr>
        <w:spacing w:before="80" w:after="80" w:lineRule="auto" w:line="360"/>
        <w:ind w:firstLine="0"/>
        <w:jc w:val="both"/>
      </w:pPr>
      <w:r>
        <w:rPr>
          <w:rFonts w:ascii="Times New Roman" w:hAnsi="Times New Roman" w:eastAsia="宋体"/>
          <w:b w:val="0"/>
          <w:i w:val="0"/>
          <w:sz w:val="24"/>
        </w:rPr>
        <w:t>The expert-tier results qualify this account (Section 3.5). The template-anchored F_template and G_template_rules earned markedly higher expert scores, whereas the skeleton-only H4_sop_only was about one point lower (per-configuration samples are very small and these are exploratory observations). A plausible explanation is that the model's own knowledge does not reliably cover the clinical-practice details required by ISO 15189:2022 and CNAS-CL02:2023 – in our task set, emergency-sample handling, acceptance of patient-self-collected specimens, qualification requirements for sample-courier personnel, and detailed sample-rejection criteria. When these are not stated explicitly in the system prompt, the model tends to fall back on generic procedural language: such language meets structural and terminological compliance (the two dimensions most readily detected by automated and LLM-based scoring, Section 3.6) but lacks the practical operability required of documents intended for accreditation submission. Prompt minimization is therefore appropriate for rapid drafting that is judged only by an LLM; but when a document must pass expert review for a formal accreditation submission, a template-anchored prompt is required.</w:t>
      </w:r>
    </w:p>
    <w:p>
      <w:pPr>
        <w:spacing w:before="200" w:after="80" w:lineRule="auto" w:line="360"/>
        <w:jc w:val="left"/>
      </w:pPr>
      <w:r>
        <w:rPr>
          <w:rFonts w:ascii="Times New Roman" w:hAnsi="Times New Roman" w:eastAsia="宋体"/>
          <w:b/>
          <w:i w:val="0"/>
          <w:sz w:val="24"/>
        </w:rPr>
        <w:t>4.2 The full-context trap is model-dependent</w:t>
      </w:r>
    </w:p>
    <w:p>
      <w:pPr>
        <w:spacing w:before="80" w:after="80" w:lineRule="auto" w:line="360"/>
        <w:ind w:firstLine="0"/>
        <w:jc w:val="both"/>
      </w:pPr>
      <w:r>
        <w:rPr>
          <w:rFonts w:ascii="Times New Roman" w:hAnsi="Times New Roman" w:eastAsia="宋体"/>
          <w:b w:val="0"/>
          <w:i w:val="0"/>
          <w:sz w:val="24"/>
        </w:rPr>
        <w:t>Although template-anchored configurations improve expert scores (Section 4.1), simply lengthening the prompt can be counterproductive when a model lacks stable long-context handling. C_full (~56,000 tokens) appears to be the safest choice – it includes all potentially relevant material and matches the intuition that "more context is more reliable." But our data show this intuition did not hold across the two models: for the same C_full, Claude scored 3.22–4.56 on average whereas GPT-5.4 scored only 1.40–1.84, accompanied by the three failure modes recorded in Section 3.3 (declining instruction-following, structural breakdown, and clause-citation confusion). A plausible explanation – consistent with the lost-in-the-middle phenomenon of Liu et al. [13] and with the long-context benchmarks in both vendors' technical documentation [3, 4] – is that within this length range Claude maintained more stable attention, whereas GPT-5.4, under the parameters tested, did not consistently respect the system-prompt constraints in such a long prompt.</w:t>
      </w:r>
    </w:p>
    <w:p>
      <w:pPr>
        <w:spacing w:before="80" w:after="80" w:lineRule="auto" w:line="360"/>
        <w:ind w:firstLine="0"/>
        <w:jc w:val="both"/>
      </w:pPr>
      <w:r>
        <w:rPr>
          <w:rFonts w:ascii="Times New Roman" w:hAnsi="Times New Roman" w:eastAsia="宋体"/>
          <w:b w:val="0"/>
          <w:i w:val="0"/>
          <w:sz w:val="24"/>
        </w:rPr>
        <w:t>This carries a methodological implication: any claim that "configuration X works" must be validated across multiple generation models. Evaluating on a single model conflates the effect of the configuration itself with the model's intrinsic properties (long-context capacity, instruction-following stability, and how well its training data matches the target regulatory domain), and cannot be generalized to other models. We therefore recommend validating any long-context QMS prompt (e.g., approaching or exceeding ~50,000 tokens) on the specific model and version before deployment. This is because long-context behavior can vary substantially, both between models and between adjacent versions of the same model.</w:t>
      </w:r>
    </w:p>
    <w:p>
      <w:pPr>
        <w:spacing w:before="200" w:after="80" w:lineRule="auto" w:line="360"/>
        <w:jc w:val="left"/>
      </w:pPr>
      <w:r>
        <w:rPr>
          <w:rFonts w:ascii="Times New Roman" w:hAnsi="Times New Roman" w:eastAsia="宋体"/>
          <w:b/>
          <w:i w:val="0"/>
          <w:sz w:val="24"/>
        </w:rPr>
        <w:t>4.3 Bias profile and appropriate use of LLM-as-judge</w:t>
      </w:r>
    </w:p>
    <w:p>
      <w:pPr>
        <w:spacing w:before="80" w:after="80" w:lineRule="auto" w:line="360"/>
        <w:ind w:firstLine="0"/>
        <w:jc w:val="both"/>
      </w:pPr>
      <w:r>
        <w:rPr>
          <w:rFonts w:ascii="Times New Roman" w:hAnsi="Times New Roman" w:eastAsia="宋体"/>
          <w:b w:val="0"/>
          <w:i w:val="0"/>
          <w:sz w:val="24"/>
        </w:rPr>
        <w:t>This study quantified two distinct rating biases. The first is a cross-judge directional bias: both judges rated Claude-generated documents about 0.3 points higher, driven mainly by C_full (Section 3.4). As noted above, this does not match classical self-preference and more likely reflects either a genuine quality difference between the two models or a shared preference for Claude's writing style. The second is a systematic LLM–expert offset: both judges overestimated expert-determined compliance by 0.52–0.90 points (Section 3.5).</w:t>
      </w:r>
    </w:p>
    <w:p>
      <w:pPr>
        <w:spacing w:before="80" w:after="80" w:lineRule="auto" w:line="360"/>
        <w:ind w:firstLine="0"/>
        <w:jc w:val="both"/>
      </w:pPr>
      <w:r>
        <w:rPr>
          <w:rFonts w:ascii="Times New Roman" w:hAnsi="Times New Roman" w:eastAsia="宋体"/>
          <w:b w:val="0"/>
          <w:i w:val="0"/>
          <w:sz w:val="24"/>
        </w:rPr>
        <w:t>The practical guidance from these two biases is as follows. The Claude judge's moderate agreement with the expert ranking [ICC(3,1) = 0.548] suggests it could serve as a first-pass filter in large-scale generation, screening out clearly low-quality outputs before expert review; however, the 95% CI of this coefficient crosses zero (n = 10; see Section 3.5), so this use requires confirmation in a larger sample. The GPT judge's poorer and non-significant agreement [ICC(3,1) = 0.217, p = 0.26] makes it unsuitable as a substitute for expert scoring. For documents intended for accreditation submission, formal QMS adoption, or operational use, expert final review remains indispensable. The configuration-level implications of these biases are summarized in Section 4.4 (Table 4).</w:t>
      </w:r>
    </w:p>
    <w:p>
      <w:pPr>
        <w:spacing w:before="200" w:after="80" w:lineRule="auto" w:line="360"/>
        <w:jc w:val="left"/>
      </w:pPr>
      <w:r>
        <w:rPr>
          <w:rFonts w:ascii="Times New Roman" w:hAnsi="Times New Roman" w:eastAsia="宋体"/>
          <w:b/>
          <w:i w:val="0"/>
          <w:sz w:val="24"/>
        </w:rPr>
        <w:t>4.4 Provisional configuration guidance by use scenario</w:t>
      </w:r>
    </w:p>
    <w:p>
      <w:pPr>
        <w:spacing w:before="80" w:after="80" w:lineRule="auto" w:line="360"/>
        <w:ind w:firstLine="0"/>
        <w:jc w:val="both"/>
      </w:pPr>
      <w:r>
        <w:rPr>
          <w:rFonts w:ascii="Times New Roman" w:hAnsi="Times New Roman" w:eastAsia="宋体"/>
          <w:b w:val="0"/>
          <w:i w:val="0"/>
          <w:sz w:val="24"/>
        </w:rPr>
        <w:t>Synthesizing the three tiers, we summarize provisional configuration guidance for the principal use scenarios in Table 4. The key trade-off (Section 3.5, Section 3.6) is that the most token-efficient configurations score highest at the LLM-judge tier but lack the clinically grounded detail needed for formal submission, whereas template-anchored configurations score lower there yet receive the highest expert ratings.</w:t>
      </w:r>
    </w:p>
    <w:p>
      <w:pPr>
        <w:spacing w:before="120" w:after="40" w:lineRule="auto" w:line="360"/>
        <w:ind w:firstLine="0"/>
        <w:jc w:val="center"/>
      </w:pPr>
      <w:r>
        <w:rPr>
          <w:rFonts w:ascii="Times New Roman" w:hAnsi="Times New Roman" w:eastAsia="宋体"/>
          <w:b/>
          <w:i w:val="0"/>
          <w:sz w:val="24"/>
        </w:rPr>
        <w:t>Table 4. Provisional configuration guidance by use scenario.</w:t>
      </w:r>
    </w:p>
    <w:tbl>
      <w:tblPr>
        <w:tblW w:type="auto" w:w="0"/>
        <w:jc w:val="center"/>
        <w:tblLayout w:type="autofit"/>
        <w:tblLook w:firstColumn="1" w:firstRow="1" w:lastColumn="0" w:lastRow="0" w:noHBand="0" w:noVBand="1" w:val="04A0"/>
      </w:tblPr>
      <w:tblGrid>
        <w:gridCol w:w="1768"/>
        <w:gridCol w:w="1768"/>
        <w:gridCol w:w="1768"/>
        <w:gridCol w:w="1768"/>
        <w:gridCol w:w="1768"/>
      </w:tblGrid>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Use scenario</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Provisional configuration</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Tokens</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Rationale</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Trade-off</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Rapid first-draft generation; internal iteration</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H4_sop_only or E_rules_v2</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~1,000–2,000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Near-optimal at the LLM-judge tier; highest token efficiency</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Requires manual supplementation of clinical detail</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Batch drafting of multiple SOPs</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H4_sop_only or H3_skeleton</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~2,000–5,000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Task-specific skeleton + rules</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Requires manual supplementation of clinical detail</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Formal documents for CNAS submission</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G_template_rules</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~16,000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Top-three expert compliance; cross-model robust</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Higher token cost</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Complete quality manual</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F_template or G_template_rules</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~15,000–16,000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Highest expert scores</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Higher token cost</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Not recommended</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C_full</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~56,000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Collapses under GPT-5.4 generation; ranks last after debiasing</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Not recommended</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A_bare, B_simple</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0–~300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Insufficient prompt constraint; below the practical compliance baseline</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w:t>
            </w:r>
          </w:p>
        </w:tc>
      </w:tr>
    </w:tbl>
    <w:p/>
    <w:p>
      <w:pPr>
        <w:spacing w:before="80" w:after="80" w:lineRule="auto" w:line="360"/>
        <w:ind w:firstLine="0"/>
        <w:jc w:val="both"/>
      </w:pPr>
      <w:r>
        <w:rPr>
          <w:rFonts w:ascii="Times New Roman" w:hAnsi="Times New Roman" w:eastAsia="宋体"/>
          <w:b w:val="0"/>
          <w:i w:val="0"/>
          <w:sz w:val="24"/>
        </w:rPr>
        <w:t>A practical workflow emerging from these data is to: (i) generate a rapid first draft with H4_sop_only; (ii) supplement the practical clinical detail through manual review or targeted re-prompting; and (iii) regenerate or refine the final document for accreditation submission using G_template_rules. It should be emphasized that every configuration in Table 4 produces only a reference draft: all require revision by laboratory staff and final expert review before use for accreditation, and the configurations differ only in the completeness of that draft, not in whether expert review is needed. The amount of manual rework each configuration requires was not quantified in this study and is a direction for future work.</w:t>
      </w:r>
    </w:p>
    <w:p>
      <w:pPr>
        <w:spacing w:before="200" w:after="80" w:lineRule="auto" w:line="360"/>
        <w:jc w:val="left"/>
      </w:pPr>
      <w:r>
        <w:rPr>
          <w:rFonts w:ascii="Times New Roman" w:hAnsi="Times New Roman" w:eastAsia="宋体"/>
          <w:b/>
          <w:i w:val="0"/>
          <w:sz w:val="24"/>
        </w:rPr>
        <w:t>4.5 LLM assistance within the personnel-competence requirements of ISO 15189</w:t>
      </w:r>
    </w:p>
    <w:p>
      <w:pPr>
        <w:spacing w:before="80" w:after="80" w:lineRule="auto" w:line="360"/>
        <w:ind w:firstLine="0"/>
        <w:jc w:val="both"/>
      </w:pPr>
      <w:r>
        <w:rPr>
          <w:rFonts w:ascii="Times New Roman" w:hAnsi="Times New Roman" w:eastAsia="宋体"/>
          <w:b w:val="0"/>
          <w:i w:val="0"/>
          <w:sz w:val="24"/>
        </w:rPr>
        <w:t>The drafting of QMS documents is not merely a clerical output; it is also the process through which laboratory staff build their sense of responsibility and risk awareness. If this work is delegated entirely to an LLM, staff gradually lose writing practice and struggle to develop a deep understanding of the ISO 15189 process as a whole. We therefore regard human supervision as a constraint on the use of LLMs in this setting. ISO 15189:2022 requires competent personnel and a complete examination process, not merely well-formatted documents, and our data show how far LLM output stands from that requirement: the LLM judges overestimated expert-determined compliance by 0.52–0.90 points. This position aligns with the emerging consensus that, in healthcare quality management, LLMs should be confined to clerical tasks grounded in historical data and performed under mandatory human verification, with autonomous operation regarded as premature [14]. We therefore position LLM assistance as an efficiency tool: the final authoring, review, and approval remain the responsibility of qualified personnel, while the time it saves at the drafting stage can be redirected toward the higher-order review, validation, and continual-improvement activities that ISO 15189 prioritizes.</w:t>
      </w:r>
    </w:p>
    <w:p>
      <w:pPr>
        <w:spacing w:before="200" w:after="80" w:lineRule="auto" w:line="360"/>
        <w:jc w:val="left"/>
      </w:pPr>
      <w:r>
        <w:rPr>
          <w:rFonts w:ascii="Times New Roman" w:hAnsi="Times New Roman" w:eastAsia="宋体"/>
          <w:b/>
          <w:i w:val="0"/>
          <w:sz w:val="24"/>
        </w:rPr>
        <w:t>4.6 Limitations</w:t>
      </w:r>
    </w:p>
    <w:p>
      <w:pPr>
        <w:spacing w:before="80" w:after="80" w:lineRule="auto" w:line="360"/>
        <w:ind w:firstLine="0"/>
        <w:jc w:val="both"/>
      </w:pPr>
      <w:r>
        <w:rPr>
          <w:rFonts w:ascii="Times New Roman" w:hAnsi="Times New Roman" w:eastAsia="宋体"/>
          <w:b w:val="0"/>
          <w:i w:val="0"/>
          <w:sz w:val="24"/>
        </w:rPr>
        <w:t>This study has several limitations. First, the expert-reviewed subset was small: three internal auditors evaluated only 10 documents, with one or two documents per configuration. All expert-reviewed documents were Claude-generated Class A procedure documents, and no GPT-generated, Class B, or Class C documents were included. The expert-tier findings therefore provide exploratory calibration rather than statistically stable configuration rankings.</w:t>
      </w:r>
    </w:p>
    <w:p>
      <w:pPr>
        <w:spacing w:before="80" w:after="80" w:lineRule="auto" w:line="360"/>
        <w:ind w:firstLine="0"/>
        <w:jc w:val="both"/>
      </w:pPr>
      <w:r>
        <w:rPr>
          <w:rFonts w:ascii="Times New Roman" w:hAnsi="Times New Roman" w:eastAsia="宋体"/>
          <w:b w:val="0"/>
          <w:i w:val="0"/>
          <w:sz w:val="24"/>
        </w:rPr>
        <w:t>Second, all three expert raters came from the same institution, and all three are authors of this paper. Although blinding and independent scoring were used, the high inter-rater agreement may overestimate reproducibility across institutions.</w:t>
      </w:r>
    </w:p>
    <w:p>
      <w:pPr>
        <w:spacing w:before="80" w:after="80" w:lineRule="auto" w:line="360"/>
        <w:ind w:firstLine="0"/>
        <w:jc w:val="both"/>
      </w:pPr>
      <w:r>
        <w:rPr>
          <w:rFonts w:ascii="Times New Roman" w:hAnsi="Times New Roman" w:eastAsia="宋体"/>
          <w:b w:val="0"/>
          <w:i w:val="0"/>
          <w:sz w:val="24"/>
        </w:rPr>
        <w:t>Third, the cross-model comparison was limited. GPT-5.4 generation covered only three tasks, and the two models were accessed through different runtime environments with non-identical generation and judging parameters. The observed full-context degradation should therefore be interpreted as model- and runtime-dependent rather than as a general property of either model family.</w:t>
      </w:r>
    </w:p>
    <w:p>
      <w:pPr>
        <w:spacing w:before="80" w:after="80" w:lineRule="auto" w:line="360"/>
        <w:ind w:firstLine="0"/>
        <w:jc w:val="both"/>
      </w:pPr>
      <w:r>
        <w:rPr>
          <w:rFonts w:ascii="Times New Roman" w:hAnsi="Times New Roman" w:eastAsia="宋体"/>
          <w:b w:val="0"/>
          <w:i w:val="0"/>
          <w:sz w:val="24"/>
        </w:rPr>
        <w:t>Fourth, some Claude-judge ratings were retained only as group means rather than individual document-level JSON files, limiting independent reanalysis of part of the 2 × 2 judge–generator matrix.</w:t>
      </w:r>
    </w:p>
    <w:p>
      <w:pPr>
        <w:spacing w:before="80" w:after="80" w:lineRule="auto" w:line="360"/>
        <w:ind w:firstLine="0"/>
        <w:jc w:val="both"/>
      </w:pPr>
      <w:r>
        <w:rPr>
          <w:rFonts w:ascii="Times New Roman" w:hAnsi="Times New Roman" w:eastAsia="宋体"/>
          <w:b w:val="0"/>
          <w:i w:val="0"/>
          <w:sz w:val="24"/>
        </w:rPr>
        <w:t>Fifth, the task set focused on system-level QMS documents and did not include technically demanding documents such as method validation or verification reports, measurement-uncertainty procedures, biological reference interval verification, or critical-value reporting. Generalization to such documents requires separate validation. All documents were also generated and evaluated in Chinese; the configuration effects and bias patterns reported here therefore remain unverified in English or other languages.</w:t>
      </w:r>
    </w:p>
    <w:p>
      <w:pPr>
        <w:spacing w:before="80" w:after="80" w:lineRule="auto" w:line="360"/>
        <w:ind w:firstLine="0"/>
        <w:jc w:val="both"/>
      </w:pPr>
      <w:r>
        <w:rPr>
          <w:rFonts w:ascii="Times New Roman" w:hAnsi="Times New Roman" w:eastAsia="宋体"/>
          <w:b w:val="0"/>
          <w:i w:val="0"/>
          <w:sz w:val="24"/>
        </w:rPr>
        <w:t>Finally, the evaluation rubric did not directly assess patient-safety risk, local implementability by bench-level staff, or the risk of fabricated laboratory-specific parameters. Future work should use larger multi-center expert panels, include matched GPT-generated samples, cover technical and post-examination documents, harmonize model parameters, and assess revision burden and patient-safety implications.</w:t>
      </w:r>
    </w:p>
    <w:p>
      <w:pPr>
        <w:spacing w:before="280" w:after="120" w:lineRule="auto" w:line="360"/>
        <w:jc w:val="left"/>
      </w:pPr>
      <w:r>
        <w:rPr>
          <w:rFonts w:ascii="Times New Roman" w:hAnsi="Times New Roman" w:eastAsia="宋体"/>
          <w:b/>
          <w:i w:val="0"/>
          <w:sz w:val="24"/>
        </w:rPr>
        <w:t>5. Conclusions</w:t>
      </w:r>
    </w:p>
    <w:p>
      <w:pPr>
        <w:spacing w:before="80" w:after="80" w:lineRule="auto" w:line="360"/>
        <w:ind w:firstLine="0"/>
        <w:jc w:val="both"/>
      </w:pPr>
      <w:r>
        <w:rPr>
          <w:rFonts w:ascii="Times New Roman" w:hAnsi="Times New Roman" w:eastAsia="宋体"/>
          <w:b w:val="0"/>
          <w:i w:val="0"/>
          <w:sz w:val="24"/>
        </w:rPr>
        <w:t>The optimal prompt configuration for LLM-assisted ISO 15189 QMS document generation varies with the evaluation tier: the LLM-judge favorite H4_sop_only fell to fifth under expert review, whereas the template-anchored F_template, H2_keep_examples, and G_template_rules ranked highest (Table 3). Either way, the output is only a reference draft and cannot be submitted directly. Minimal prompts give a quick-start outline; template-anchored configurations give a working draft closer to submission form, whose value lies in a reliable document skeleton – the content that actually determines accreditation readiness (the laboratory's own quality-control data, patient data distributions, and proficiency-testing history) must be entered and interpreted by competent personnel, because an LLM does not hold these data. Nor is more context safer: C_full (~56,000 tokens), which loads the full reference corpus, should instead be used with caution, particularly when generation is performed by GPT-5.4 (its failure modes were observed only at the automated and LLM-judge tiers). Evaluation, too, cannot be delegated: LLM-as-judge is suitable only for pre-screening large numbers of drafts before expert review – the Claude judge is tentatively adequate for this role [ICC(3,1) = 0.548, 95% CI crossing zero, n = 10], whereas the GPT-5.4 judge is not [ICC(3,1) = 0.217]. Ultimately, ISO 15189 documentation is the process by which laboratory staff learn processes and risks, take responsibility, and demonstrate competence; an LLM can take over only its routine textual work – expert final review remains indispensable.</w:t>
      </w:r>
    </w:p>
    <w:p>
      <w:pPr>
        <w:spacing w:before="280" w:after="120" w:lineRule="auto" w:line="360"/>
        <w:jc w:val="left"/>
      </w:pPr>
      <w:r>
        <w:rPr>
          <w:rFonts w:ascii="Times New Roman" w:hAnsi="Times New Roman" w:eastAsia="宋体"/>
          <w:b/>
          <w:i w:val="0"/>
          <w:sz w:val="24"/>
        </w:rPr>
        <w:t>Declarations</w:t>
      </w:r>
    </w:p>
    <w:p>
      <w:pPr>
        <w:spacing w:before="80" w:after="80" w:lineRule="auto" w:line="360"/>
        <w:ind w:firstLine="0"/>
        <w:jc w:val="both"/>
      </w:pPr>
      <w:r>
        <w:rPr>
          <w:rFonts w:ascii="Times New Roman" w:hAnsi="Times New Roman" w:eastAsia="宋体"/>
          <w:b/>
          <w:i w:val="0"/>
          <w:sz w:val="24"/>
        </w:rPr>
        <w:t>Research funding</w:t>
      </w:r>
      <w:r>
        <w:rPr>
          <w:rFonts w:ascii="Times New Roman" w:hAnsi="Times New Roman" w:eastAsia="宋体"/>
          <w:b w:val="0"/>
          <w:i w:val="0"/>
          <w:sz w:val="24"/>
        </w:rPr>
        <w:t>: The study received no external research funding.</w:t>
      </w:r>
    </w:p>
    <w:p>
      <w:pPr>
        <w:spacing w:before="80" w:after="80" w:lineRule="auto" w:line="360"/>
        <w:ind w:firstLine="0"/>
        <w:jc w:val="both"/>
      </w:pPr>
      <w:r>
        <w:rPr>
          <w:rFonts w:ascii="Times New Roman" w:hAnsi="Times New Roman" w:eastAsia="宋体"/>
          <w:b/>
          <w:i w:val="0"/>
          <w:sz w:val="24"/>
        </w:rPr>
        <w:t>Author contributions</w:t>
      </w:r>
      <w:r>
        <w:rPr>
          <w:rFonts w:ascii="Times New Roman" w:hAnsi="Times New Roman" w:eastAsia="宋体"/>
          <w:b w:val="0"/>
          <w:i w:val="0"/>
          <w:sz w:val="24"/>
        </w:rPr>
        <w:t>: Sidi Liu was responsible for the conceptualization and design of the study, the conduct of all experiments, the data analysis, and the drafting and revision of the manuscript. Dongdong Li was responsible for study supervision and critical revision of the manuscript and, as the corresponding author, takes responsibility for the content of the article. Lan Yang and Xinying Chen served as independent raters in the blinded expert review (Raters 2 and 3, respectively). Dan Wu assisted with data curation. All authors have read and approved the final manuscript.</w:t>
      </w:r>
    </w:p>
    <w:p>
      <w:pPr>
        <w:spacing w:before="80" w:after="80" w:lineRule="auto" w:line="360"/>
        <w:ind w:firstLine="0"/>
        <w:jc w:val="both"/>
      </w:pPr>
      <w:r>
        <w:rPr>
          <w:rFonts w:ascii="Times New Roman" w:hAnsi="Times New Roman" w:eastAsia="宋体"/>
          <w:b/>
          <w:i w:val="0"/>
          <w:sz w:val="24"/>
        </w:rPr>
        <w:t>Competing interests</w:t>
      </w:r>
      <w:r>
        <w:rPr>
          <w:rFonts w:ascii="Times New Roman" w:hAnsi="Times New Roman" w:eastAsia="宋体"/>
          <w:b w:val="0"/>
          <w:i w:val="0"/>
          <w:sz w:val="24"/>
        </w:rPr>
        <w:t>: The authors declare no competing interests. None of the three expert raters had any commercial, research, or consulting relationship with Anthropic, OpenAI, or other LLM providers, and none received funding or in-kind support from these entities.</w:t>
      </w:r>
    </w:p>
    <w:p>
      <w:pPr>
        <w:spacing w:before="80" w:after="80" w:lineRule="auto" w:line="360"/>
        <w:ind w:firstLine="0"/>
        <w:jc w:val="both"/>
      </w:pPr>
      <w:r>
        <w:rPr>
          <w:rFonts w:ascii="Times New Roman" w:hAnsi="Times New Roman" w:eastAsia="宋体"/>
          <w:b/>
          <w:i w:val="0"/>
          <w:sz w:val="24"/>
        </w:rPr>
        <w:t>Informed consent</w:t>
      </w:r>
      <w:r>
        <w:rPr>
          <w:rFonts w:ascii="Times New Roman" w:hAnsi="Times New Roman" w:eastAsia="宋体"/>
          <w:b w:val="0"/>
          <w:i w:val="0"/>
          <w:sz w:val="24"/>
        </w:rPr>
        <w:t>: This study involved no patients or human subjects. Written informed consent was obtained from Raters 2 and 3 (Lan Yang and Xinying Chen, now co-authors) prior to their participation in the blinded expert review. The consent form described the study purpose, the intended use of the ratings, the data-handling and de-identification procedures, and the right to withdraw at any time.</w:t>
      </w:r>
    </w:p>
    <w:p>
      <w:pPr>
        <w:spacing w:before="80" w:after="80" w:lineRule="auto" w:line="360"/>
        <w:ind w:firstLine="0"/>
        <w:jc w:val="both"/>
      </w:pPr>
      <w:r>
        <w:rPr>
          <w:rFonts w:ascii="Times New Roman" w:hAnsi="Times New Roman" w:eastAsia="宋体"/>
          <w:b/>
          <w:i w:val="0"/>
          <w:sz w:val="24"/>
        </w:rPr>
        <w:t>Ethical approval</w:t>
      </w:r>
      <w:r>
        <w:rPr>
          <w:rFonts w:ascii="Times New Roman" w:hAnsi="Times New Roman" w:eastAsia="宋体"/>
          <w:b w:val="0"/>
          <w:i w:val="0"/>
          <w:sz w:val="24"/>
        </w:rPr>
        <w:t>: This study did not require formal ethical approval, because it did not involve patient data, biological samples, or human intervention. The QMS documents generated and evaluated used fictitious placeholder names (e.g., "Dr Li", "Dr Zhang") and contained no identifiable personal information. The inter-rater dataset was collected as methodological research from informed-consent volunteers; rater-level identifying data are stored under coded labels (Rater 1 / Rater 2 / Rater 3) in the released dataset.</w:t>
      </w:r>
    </w:p>
    <w:p>
      <w:pPr>
        <w:spacing w:before="80" w:after="80" w:lineRule="auto" w:line="360"/>
        <w:ind w:firstLine="0"/>
        <w:jc w:val="both"/>
      </w:pPr>
      <w:r>
        <w:rPr>
          <w:rFonts w:ascii="Times New Roman" w:hAnsi="Times New Roman" w:eastAsia="宋体"/>
          <w:b/>
          <w:i w:val="0"/>
          <w:sz w:val="24"/>
        </w:rPr>
        <w:t>Data availability</w:t>
      </w:r>
      <w:r>
        <w:rPr>
          <w:rFonts w:ascii="Times New Roman" w:hAnsi="Times New Roman" w:eastAsia="宋体"/>
          <w:b w:val="0"/>
          <w:i w:val="0"/>
          <w:sz w:val="24"/>
        </w:rPr>
        <w:t>: The 486 generated documents, 864 LLM-as-judge ratings, 30 blinded expert ratings, and all analysis code are openly available on GitHub (https://github.com/stttttte/iso15189-llm-config-experiment) under a dual license: MIT for code and CC BY 4.0 for data. A versioned snapshot has been archived on Zenodo (DOI: 10.5281/zenodo.20091463; https://doi.org/10.5281/zenodo.20091463).</w:t>
      </w:r>
    </w:p>
    <w:p>
      <w:pPr>
        <w:spacing w:before="280" w:after="120" w:lineRule="auto" w:line="360"/>
        <w:jc w:val="left"/>
      </w:pPr>
      <w:r>
        <w:rPr>
          <w:rFonts w:ascii="Times New Roman" w:hAnsi="Times New Roman" w:eastAsia="宋体"/>
          <w:b/>
          <w:i w:val="0"/>
          <w:sz w:val="24"/>
        </w:rPr>
        <w:t>Acknowledgments</w:t>
      </w:r>
    </w:p>
    <w:p>
      <w:pPr>
        <w:spacing w:before="80" w:after="80" w:lineRule="auto" w:line="360"/>
        <w:ind w:firstLine="0"/>
        <w:jc w:val="both"/>
      </w:pPr>
      <w:r>
        <w:rPr>
          <w:rFonts w:ascii="Times New Roman" w:hAnsi="Times New Roman" w:eastAsia="宋体"/>
          <w:b/>
          <w:i w:val="0"/>
          <w:sz w:val="24"/>
        </w:rPr>
        <w:t>Acknowledgment of AI tool use.</w:t>
      </w:r>
      <w:r>
        <w:rPr>
          <w:rFonts w:ascii="Times New Roman" w:hAnsi="Times New Roman" w:eastAsia="宋体"/>
          <w:b w:val="0"/>
          <w:i w:val="0"/>
          <w:sz w:val="24"/>
        </w:rPr>
        <w:t xml:space="preserve"> In accordance with the AI Policy for Authors of De Gruyter Brill, the authors disclose the following use of generative artificial intelligence (AI) tools in this work.</w:t>
      </w:r>
    </w:p>
    <w:p>
      <w:pPr>
        <w:spacing w:before="80" w:after="80" w:lineRule="auto" w:line="360"/>
        <w:ind w:firstLine="0"/>
        <w:jc w:val="both"/>
      </w:pPr>
      <w:r>
        <w:rPr>
          <w:rFonts w:ascii="Times New Roman" w:hAnsi="Times New Roman" w:eastAsia="宋体"/>
          <w:b w:val="0"/>
          <w:i w:val="0"/>
          <w:sz w:val="24"/>
        </w:rPr>
        <w:t xml:space="preserve">(1) </w:t>
      </w:r>
      <w:r>
        <w:rPr>
          <w:rFonts w:ascii="Times New Roman" w:hAnsi="Times New Roman" w:eastAsia="宋体"/>
          <w:b/>
          <w:i w:val="0"/>
          <w:sz w:val="24"/>
        </w:rPr>
        <w:t>AI as research objects.</w:t>
      </w:r>
      <w:r>
        <w:rPr>
          <w:rFonts w:ascii="Times New Roman" w:hAnsi="Times New Roman" w:eastAsia="宋体"/>
          <w:b w:val="0"/>
          <w:i w:val="0"/>
          <w:sz w:val="24"/>
        </w:rPr>
        <w:t xml:space="preserve"> Claude Opus 4.6 (Anthropic, San Francisco, CA, USA) and GPT-5.4 (OpenAI, San Francisco, CA, USA, accessed via the AIHubMix API proxy) were used to generate the 486 ISO 15189:2022 QMS documents that constitute the primary dataset of this study; these documents are the experimental objects under investigation, are not fabricated clinical data, and were not used in real patient care.</w:t>
      </w:r>
    </w:p>
    <w:p>
      <w:pPr>
        <w:spacing w:before="80" w:after="80" w:lineRule="auto" w:line="360"/>
        <w:ind w:firstLine="0"/>
        <w:jc w:val="both"/>
      </w:pPr>
      <w:r>
        <w:rPr>
          <w:rFonts w:ascii="Times New Roman" w:hAnsi="Times New Roman" w:eastAsia="宋体"/>
          <w:b w:val="0"/>
          <w:i w:val="0"/>
          <w:sz w:val="24"/>
        </w:rPr>
        <w:t xml:space="preserve">(2) </w:t>
      </w:r>
      <w:r>
        <w:rPr>
          <w:rFonts w:ascii="Times New Roman" w:hAnsi="Times New Roman" w:eastAsia="宋体"/>
          <w:b/>
          <w:i w:val="0"/>
          <w:sz w:val="24"/>
        </w:rPr>
        <w:t>AI as evaluators.</w:t>
      </w:r>
      <w:r>
        <w:rPr>
          <w:rFonts w:ascii="Times New Roman" w:hAnsi="Times New Roman" w:eastAsia="宋体"/>
          <w:b w:val="0"/>
          <w:i w:val="0"/>
          <w:sz w:val="24"/>
        </w:rPr>
        <w:t xml:space="preserve"> The same two models served as LLM judges, producing the 864 retained document-level ratings described in Section 2.3 (486 GPT-judge ratings covering all documents and 378 Claude-judge ratings covering 77.8%); the Claude judging ran in successive batches, and for some batches only group-level means were retained (Sections 2.3.2 and 4.6). Full prompts, model parameters, and per-document score files are provided in the public repository (https://github.com/stttttte/iso15189-llm-config-experiment).</w:t>
      </w:r>
    </w:p>
    <w:p>
      <w:pPr>
        <w:spacing w:before="80" w:after="80" w:lineRule="auto" w:line="360"/>
        <w:ind w:firstLine="0"/>
        <w:jc w:val="both"/>
      </w:pPr>
      <w:r>
        <w:rPr>
          <w:rFonts w:ascii="Times New Roman" w:hAnsi="Times New Roman" w:eastAsia="宋体"/>
          <w:b w:val="0"/>
          <w:i w:val="0"/>
          <w:sz w:val="24"/>
        </w:rPr>
        <w:t xml:space="preserve">(3) </w:t>
      </w:r>
      <w:r>
        <w:rPr>
          <w:rFonts w:ascii="Times New Roman" w:hAnsi="Times New Roman" w:eastAsia="宋体"/>
          <w:b/>
          <w:i w:val="0"/>
          <w:sz w:val="24"/>
        </w:rPr>
        <w:t>AI-assisted manuscript drafting.</w:t>
      </w:r>
      <w:r>
        <w:rPr>
          <w:rFonts w:ascii="Times New Roman" w:hAnsi="Times New Roman" w:eastAsia="宋体"/>
          <w:b w:val="0"/>
          <w:i w:val="0"/>
          <w:sz w:val="24"/>
        </w:rPr>
        <w:t xml:space="preserve"> The first author used Claude Code (Claude Opus 4.6, Anthropic) to assist with manuscript outlining, first-draft composition, table preparation, and data-visualization code generation; all AI-suggested content, wording, and analytical code were critically reviewed, revised, and verified by the authors, who take full responsibility for the final manuscript, including all claims, interpretations, and conclusions.</w:t>
      </w:r>
    </w:p>
    <w:p>
      <w:pPr>
        <w:spacing w:before="80" w:after="80" w:lineRule="auto" w:line="360"/>
        <w:ind w:firstLine="0"/>
        <w:jc w:val="both"/>
      </w:pPr>
      <w:r>
        <w:rPr>
          <w:rFonts w:ascii="Times New Roman" w:hAnsi="Times New Roman" w:eastAsia="宋体"/>
          <w:b w:val="0"/>
          <w:i w:val="0"/>
          <w:sz w:val="24"/>
        </w:rPr>
        <w:t xml:space="preserve">(4) </w:t>
      </w:r>
      <w:r>
        <w:rPr>
          <w:rFonts w:ascii="Times New Roman" w:hAnsi="Times New Roman" w:eastAsia="宋体"/>
          <w:b/>
          <w:i w:val="0"/>
          <w:sz w:val="24"/>
        </w:rPr>
        <w:t>No AI-generated images or manipulated data.</w:t>
      </w:r>
      <w:r>
        <w:rPr>
          <w:rFonts w:ascii="Times New Roman" w:hAnsi="Times New Roman" w:eastAsia="宋体"/>
          <w:b w:val="0"/>
          <w:i w:val="0"/>
          <w:sz w:val="24"/>
        </w:rPr>
        <w:t xml:space="preserve"> All figures (Figures 1–4) were produced with matplotlib 3.7.1 (Python 3.11) from raw numerical data stored as JSON files; no generative AI tools were used to create, alter, or manipulate images, figures, or numerical data.</w:t>
      </w:r>
    </w:p>
    <w:p>
      <w:pPr>
        <w:spacing w:before="80" w:after="80" w:lineRule="auto" w:line="360"/>
        <w:ind w:firstLine="0"/>
        <w:jc w:val="both"/>
      </w:pPr>
      <w:r>
        <w:rPr>
          <w:rFonts w:ascii="Times New Roman" w:hAnsi="Times New Roman" w:eastAsia="宋体"/>
          <w:b w:val="0"/>
          <w:i w:val="0"/>
          <w:sz w:val="24"/>
        </w:rPr>
        <w:t xml:space="preserve">(5) </w:t>
      </w:r>
      <w:r>
        <w:rPr>
          <w:rFonts w:ascii="Times New Roman" w:hAnsi="Times New Roman" w:eastAsia="宋体"/>
          <w:b/>
          <w:i w:val="0"/>
          <w:sz w:val="24"/>
        </w:rPr>
        <w:t>Accountability.</w:t>
      </w:r>
      <w:r>
        <w:rPr>
          <w:rFonts w:ascii="Times New Roman" w:hAnsi="Times New Roman" w:eastAsia="宋体"/>
          <w:b w:val="0"/>
          <w:i w:val="0"/>
          <w:sz w:val="24"/>
        </w:rPr>
        <w:t xml:space="preserve"> The authors confirm compliance with De Gruyter Brill's AI Policy for Authors and accept full responsibility for all content of this submission, in accordance with the ICMJE authorship criteria.</w:t>
      </w:r>
    </w:p>
    <w:p>
      <w:pPr>
        <w:spacing w:before="280" w:after="120" w:lineRule="auto" w:line="360"/>
        <w:jc w:val="left"/>
      </w:pPr>
      <w:r>
        <w:rPr>
          <w:rFonts w:ascii="Times New Roman" w:hAnsi="Times New Roman" w:eastAsia="宋体"/>
          <w:b/>
          <w:i w:val="0"/>
          <w:sz w:val="24"/>
        </w:rPr>
        <w:t>Figure Legends</w:t>
      </w:r>
    </w:p>
    <w:p>
      <w:pPr>
        <w:spacing w:before="80" w:after="40" w:lineRule="auto" w:line="360"/>
        <w:ind w:firstLine="0"/>
        <w:jc w:val="center"/>
      </w:pPr>
      <w:r>
        <w:rPr>
          <w:rFonts w:ascii="Segoe UI Symbol" w:hAnsi="Segoe UI Symbol" w:eastAsia="宋体"/>
          <w:b/>
          <w:i w:val="0"/>
          <w:sz w:val="21"/>
        </w:rPr>
        <w:t>Figure 1. The nine prompt configurations evaluated in the study.</w:t>
      </w:r>
    </w:p>
    <w:p>
      <w:pPr>
        <w:spacing w:before="40" w:after="120" w:lineRule="auto" w:line="240"/>
        <w:ind w:firstLine="0"/>
        <w:jc w:val="both"/>
      </w:pPr>
      <w:r>
        <w:rPr>
          <w:rFonts w:ascii="Segoe UI Symbol" w:hAnsi="Segoe UI Symbol" w:eastAsia="宋体"/>
          <w:b w:val="0"/>
          <w:i w:val="0"/>
          <w:sz w:val="21"/>
        </w:rPr>
        <w:t>For each configuration (rows, ordered by prompt size), the four left columns show whether each prompt component is included (✓, dark), partially included (◑, light), or absent (—, pale); the right column shows the total system-prompt size in thousands of tokens (cl100k_base tokenizer). The two encodings are not proportional: the component marks index the presence of distilled, structured prompt content, whereas bar length reflects the total volume of loaded text. C_full reaches the largest token count by loading the full raw reference corpus (the complete ISO 15189 and CNAS standard texts plus an existing document library), yet its rules component is only partial (◑), because explicit rules are embedded within that raw text rather than supplied as a distilled rule set.</w:t>
      </w:r>
    </w:p>
    <w:p>
      <w:pPr>
        <w:spacing w:before="80" w:after="40" w:lineRule="auto" w:line="360"/>
        <w:ind w:firstLine="0"/>
        <w:jc w:val="center"/>
      </w:pPr>
      <w:r>
        <w:rPr>
          <w:rFonts w:ascii="Segoe UI Symbol" w:hAnsi="Segoe UI Symbol" w:eastAsia="宋体"/>
          <w:b/>
          <w:i w:val="0"/>
          <w:sz w:val="21"/>
        </w:rPr>
        <w:t>Figure 2. Cross-model validation across the four generator–judge combinations.</w:t>
      </w:r>
    </w:p>
    <w:p>
      <w:pPr>
        <w:spacing w:before="40" w:after="120" w:lineRule="auto" w:line="240"/>
        <w:ind w:firstLine="0"/>
        <w:jc w:val="both"/>
      </w:pPr>
      <w:r>
        <w:rPr>
          <w:rFonts w:ascii="Segoe UI Symbol" w:hAnsi="Segoe UI Symbol" w:eastAsia="宋体"/>
          <w:b w:val="0"/>
          <w:i w:val="0"/>
          <w:sz w:val="21"/>
        </w:rPr>
        <w:t>For each configuration (rows), the two horizontal segments span the scores assigned by the Claude judge (circles) and the GPT judge (triangles) to Claude-generated documents (blue) and GPT-generated documents (orange); scores are means across tasks A1, B1, and C1 (0–5 scale). All combinations lie in the 3.1–4.7 range except GPT-generated C_full, which collapses to 1.40 (Claude judge) and 1.84 (GPT judge), whereas the same configuration generated by Claude scores 3.22–4.56.</w:t>
      </w:r>
    </w:p>
    <w:p>
      <w:pPr>
        <w:spacing w:before="80" w:after="40" w:lineRule="auto" w:line="360"/>
        <w:ind w:firstLine="0"/>
        <w:jc w:val="center"/>
      </w:pPr>
      <w:r>
        <w:rPr>
          <w:rFonts w:ascii="Segoe UI Symbol" w:hAnsi="Segoe UI Symbol" w:eastAsia="宋体"/>
          <w:b/>
          <w:i w:val="0"/>
          <w:sz w:val="21"/>
        </w:rPr>
        <w:t>Figure 3. Bland–Altman analysis of agreement between each LLM judge and the expert panel (n = 10 documents).</w:t>
      </w:r>
    </w:p>
    <w:p>
      <w:pPr>
        <w:spacing w:before="40" w:after="120" w:lineRule="auto" w:line="240"/>
        <w:ind w:firstLine="0"/>
        <w:jc w:val="both"/>
      </w:pPr>
      <w:r>
        <w:rPr>
          <w:rFonts w:ascii="Segoe UI Symbol" w:hAnsi="Segoe UI Symbol" w:eastAsia="宋体"/>
          <w:b w:val="0"/>
          <w:i w:val="0"/>
          <w:sz w:val="21"/>
        </w:rPr>
        <w:t>Each point is one document; the horizontal axis shows the mean of the expert-panel and judge scores, and the vertical axis their difference (judge − expert). The solid line marks the mean bias (+0.90 for the Claude judge, panel a; +0.52 for the GPT judge, panel b) and the dashed lines the 95% limits of agreement (mean ± 1.96 SD). Points are colored by configuration family; the open circle is the no-prompt baseline. The black line at zero indicates perfect agreement; nearly all points lie above it, showing systematic overestimation by both judges.</w:t>
      </w:r>
    </w:p>
    <w:p>
      <w:pPr>
        <w:spacing w:before="80" w:after="40" w:lineRule="auto" w:line="360"/>
        <w:ind w:firstLine="0"/>
        <w:jc w:val="center"/>
      </w:pPr>
      <w:r>
        <w:rPr>
          <w:rFonts w:ascii="Segoe UI Symbol" w:hAnsi="Segoe UI Symbol" w:eastAsia="宋体"/>
          <w:b/>
          <w:i w:val="0"/>
          <w:sz w:val="21"/>
        </w:rPr>
        <w:t>Figure 4. Token size, quality, and the ranking reversal between evaluation tiers.</w:t>
      </w:r>
    </w:p>
    <w:p>
      <w:pPr>
        <w:spacing w:before="40" w:after="120" w:lineRule="auto" w:line="240"/>
        <w:ind w:firstLine="0"/>
        <w:jc w:val="both"/>
      </w:pPr>
      <w:r>
        <w:rPr>
          <w:rFonts w:ascii="Segoe UI Symbol" w:hAnsi="Segoe UI Symbol" w:eastAsia="宋体"/>
          <w:b w:val="0"/>
          <w:i w:val="0"/>
          <w:sz w:val="21"/>
        </w:rPr>
        <w:t>(a) Mean quality score against system-prompt size (symlog scale) for the expert panel (green squares), the Claude judge (orange circles), and the GPT judge (blue triangles), computed on the n = 10 expert-reviewed subset; short codes identify configurations, and shaded bands mark the token-efficient (E/H4) and expert-optimal (F/G) regions. (b) Configuration ranking at the LLM-judge tier (composite score, Table 1) versus the expert panel (Table 3): the LLM favorite H4_sop_only falls from first to fifth, whereas F_template rises from sixth to first.</w:t>
      </w:r>
    </w:p>
    <w:p>
      <w:pPr>
        <w:spacing w:before="280" w:after="120" w:lineRule="auto" w:line="360"/>
        <w:jc w:val="left"/>
      </w:pPr>
      <w:r>
        <w:rPr>
          <w:rFonts w:ascii="Times New Roman" w:hAnsi="Times New Roman" w:eastAsia="宋体"/>
          <w:b/>
          <w:i w:val="0"/>
          <w:sz w:val="24"/>
        </w:rPr>
        <w:t>References</w:t>
      </w:r>
    </w:p>
    <w:p>
      <w:pPr>
        <w:spacing w:before="80" w:after="80" w:lineRule="auto" w:line="360"/>
        <w:ind w:firstLine="0"/>
        <w:jc w:val="both"/>
      </w:pPr>
      <w:r>
        <w:rPr>
          <w:rFonts w:ascii="Times New Roman" w:hAnsi="Times New Roman" w:eastAsia="宋体"/>
          <w:b w:val="0"/>
          <w:i w:val="0"/>
          <w:sz w:val="24"/>
        </w:rPr>
        <w:t>1. ISO 15189:2022. Medical laboratories — Requirements for quality and competence. Geneva: International Organization for Standardization; 2022.</w:t>
      </w:r>
    </w:p>
    <w:p>
      <w:pPr>
        <w:spacing w:before="80" w:after="80" w:lineRule="auto" w:line="360"/>
        <w:ind w:firstLine="0"/>
        <w:jc w:val="both"/>
      </w:pPr>
      <w:r>
        <w:rPr>
          <w:rFonts w:ascii="Times New Roman" w:hAnsi="Times New Roman" w:eastAsia="宋体"/>
          <w:b w:val="0"/>
          <w:i w:val="0"/>
          <w:sz w:val="24"/>
        </w:rPr>
        <w:t>2. Yang S, Zhou Y, Wang C, Luo M. The 'Double Helix' model of quality monitoring: risk mapping of quality management system during initial ISO 15189 implementation in a medical laboratory. PLoS One 2026;21:e0342129.</w:t>
      </w:r>
    </w:p>
    <w:p>
      <w:pPr>
        <w:spacing w:before="80" w:after="80" w:lineRule="auto" w:line="360"/>
        <w:ind w:firstLine="0"/>
        <w:jc w:val="both"/>
      </w:pPr>
      <w:r>
        <w:rPr>
          <w:rFonts w:ascii="Times New Roman" w:hAnsi="Times New Roman" w:eastAsia="宋体"/>
          <w:b w:val="0"/>
          <w:i w:val="0"/>
          <w:sz w:val="24"/>
        </w:rPr>
        <w:t>3. Anthropic. Claude Opus 4.6 System Card. San Francisco (CA): Anthropic; 2026. Available at: https://www.anthropic.com/claude-opus-4-6-system-card. [Accessed 9 May 2026].</w:t>
      </w:r>
    </w:p>
    <w:p>
      <w:pPr>
        <w:spacing w:before="80" w:after="80" w:lineRule="auto" w:line="360"/>
        <w:ind w:firstLine="0"/>
        <w:jc w:val="both"/>
      </w:pPr>
      <w:r>
        <w:rPr>
          <w:rFonts w:ascii="Times New Roman" w:hAnsi="Times New Roman" w:eastAsia="宋体"/>
          <w:b w:val="0"/>
          <w:i w:val="0"/>
          <w:sz w:val="24"/>
        </w:rPr>
        <w:t>4. OpenAI. GPT-5 System Card. San Francisco (CA): OpenAI; 2025. Available at: https://openai.com/index/gpt-5-system-card/. [Accessed 9 May 2026].</w:t>
      </w:r>
    </w:p>
    <w:p>
      <w:pPr>
        <w:spacing w:before="80" w:after="80" w:lineRule="auto" w:line="360"/>
        <w:ind w:firstLine="0"/>
        <w:jc w:val="both"/>
      </w:pPr>
      <w:r>
        <w:rPr>
          <w:rFonts w:ascii="Times New Roman" w:hAnsi="Times New Roman" w:eastAsia="宋体"/>
          <w:b w:val="0"/>
          <w:i w:val="0"/>
          <w:sz w:val="24"/>
        </w:rPr>
        <w:t>5. Zhao WX, Zhou K, Li J, Tang T, Wang X, Hou Y, et al. A survey of large language models. arXiv preprint 2023; arXiv:2303.18223.</w:t>
      </w:r>
    </w:p>
    <w:p>
      <w:pPr>
        <w:spacing w:before="80" w:after="80" w:lineRule="auto" w:line="360"/>
        <w:ind w:firstLine="0"/>
        <w:jc w:val="both"/>
      </w:pPr>
      <w:r>
        <w:rPr>
          <w:rFonts w:ascii="Times New Roman" w:hAnsi="Times New Roman" w:eastAsia="宋体"/>
          <w:b w:val="0"/>
          <w:i w:val="0"/>
          <w:sz w:val="24"/>
        </w:rPr>
        <w:t>6. Schulhoff S, Ilie M, Balepur N, Kahadze K, Liu A, Si C, et al. The prompt report: a systematic survey of prompting techniques. arXiv preprint 2024; arXiv:2406.06608.</w:t>
      </w:r>
    </w:p>
    <w:p>
      <w:pPr>
        <w:spacing w:before="80" w:after="80" w:lineRule="auto" w:line="360"/>
        <w:ind w:firstLine="0"/>
        <w:jc w:val="both"/>
      </w:pPr>
      <w:r>
        <w:rPr>
          <w:rFonts w:ascii="Times New Roman" w:hAnsi="Times New Roman" w:eastAsia="宋体"/>
          <w:b w:val="0"/>
          <w:i w:val="0"/>
          <w:sz w:val="24"/>
        </w:rPr>
        <w:t>7. Zheng L, Chiang WL, Sheng Y, Zhuang S, Wu Z, Zhuang Y, et al. Judging LLM-as-a-judge with MT-Bench and Chatbot Arena. In: Advances in Neural Information Processing Systems 36 (NeurIPS 2023) Datasets and Benchmarks Track. 2023.</w:t>
      </w:r>
    </w:p>
    <w:p>
      <w:pPr>
        <w:spacing w:before="80" w:after="80" w:lineRule="auto" w:line="360"/>
        <w:ind w:firstLine="0"/>
        <w:jc w:val="both"/>
      </w:pPr>
      <w:r>
        <w:rPr>
          <w:rFonts w:ascii="Times New Roman" w:hAnsi="Times New Roman" w:eastAsia="宋体"/>
          <w:b w:val="0"/>
          <w:i w:val="0"/>
          <w:sz w:val="24"/>
        </w:rPr>
        <w:t>8. Tan H, Guo Z, Shi Z, Xu L, Liu Z, Feng Y, et al. ProxyQA: an alternative framework for evaluating long-form text generation with large language models. In: Proceedings of the 62nd Annual Meeting of the Association for Computational Linguistics (Volume 1: Long Papers); 2024 Aug 11–16; Bangkok, Thailand. Stroudsburg (PA): Association for Computational Linguistics; 2024. p. 6806–27.</w:t>
      </w:r>
    </w:p>
    <w:p>
      <w:pPr>
        <w:spacing w:before="80" w:after="80" w:lineRule="auto" w:line="360"/>
        <w:ind w:firstLine="0"/>
        <w:jc w:val="both"/>
      </w:pPr>
      <w:r>
        <w:rPr>
          <w:rFonts w:ascii="Times New Roman" w:hAnsi="Times New Roman" w:eastAsia="宋体"/>
          <w:b w:val="0"/>
          <w:i w:val="0"/>
          <w:sz w:val="24"/>
        </w:rPr>
        <w:t>9. Chiang WL, Zheng L, Sheng Y, Angelopoulos AN, Li T, Li D, et al. Chatbot Arena: an open platform for evaluating LLMs by human preference. arXiv preprint 2024; arXiv:2403.04132.</w:t>
      </w:r>
    </w:p>
    <w:p>
      <w:pPr>
        <w:spacing w:before="80" w:after="80" w:lineRule="auto" w:line="360"/>
        <w:ind w:firstLine="0"/>
        <w:jc w:val="both"/>
      </w:pPr>
      <w:r>
        <w:rPr>
          <w:rFonts w:ascii="Times New Roman" w:hAnsi="Times New Roman" w:eastAsia="宋体"/>
          <w:b w:val="0"/>
          <w:i w:val="0"/>
          <w:sz w:val="24"/>
        </w:rPr>
        <w:t>10. Panickssery A, Bowman SR, Feng S. LLM evaluators recognize and favor their own generations. arXiv preprint 2024; arXiv:2404.13076.</w:t>
      </w:r>
    </w:p>
    <w:p>
      <w:pPr>
        <w:spacing w:before="80" w:after="80" w:lineRule="auto" w:line="360"/>
        <w:ind w:firstLine="0"/>
        <w:jc w:val="both"/>
      </w:pPr>
      <w:r>
        <w:rPr>
          <w:rFonts w:ascii="Times New Roman" w:hAnsi="Times New Roman" w:eastAsia="宋体"/>
          <w:b w:val="0"/>
          <w:i w:val="0"/>
          <w:sz w:val="24"/>
        </w:rPr>
        <w:t>11. Shrout PE, Fleiss JL. Intraclass correlations: uses in assessing rater reliability. Psychol Bull 1979;86:420–8.</w:t>
      </w:r>
    </w:p>
    <w:p>
      <w:pPr>
        <w:spacing w:before="80" w:after="80" w:lineRule="auto" w:line="360"/>
        <w:ind w:firstLine="0"/>
        <w:jc w:val="both"/>
      </w:pPr>
      <w:r>
        <w:rPr>
          <w:rFonts w:ascii="Times New Roman" w:hAnsi="Times New Roman" w:eastAsia="宋体"/>
          <w:b w:val="0"/>
          <w:i w:val="0"/>
          <w:sz w:val="24"/>
        </w:rPr>
        <w:t>12. Cicchetti DV. Guidelines, criteria, and rules of thumb for evaluating normed and standardized assessment instruments in psychology. Psychol Assess 1994;6:284–90.</w:t>
      </w:r>
    </w:p>
    <w:p>
      <w:pPr>
        <w:spacing w:before="80" w:after="80" w:lineRule="auto" w:line="360"/>
        <w:ind w:firstLine="0"/>
        <w:jc w:val="both"/>
      </w:pPr>
      <w:r>
        <w:rPr>
          <w:rFonts w:ascii="Times New Roman" w:hAnsi="Times New Roman" w:eastAsia="宋体"/>
          <w:b w:val="0"/>
          <w:i w:val="0"/>
          <w:sz w:val="24"/>
        </w:rPr>
        <w:t>13. Liu NF, Lin K, Hewitt J, Paranjape A, Bevilacqua M, Petroni F, et al. Lost in the middle: how language models use long contexts. Trans Assoc Comput Linguist 2024;12:157–73.</w:t>
      </w:r>
    </w:p>
    <w:p>
      <w:pPr>
        <w:spacing w:before="80" w:after="80" w:lineRule="auto" w:line="360"/>
        <w:ind w:firstLine="0"/>
        <w:jc w:val="both"/>
      </w:pPr>
      <w:r>
        <w:rPr>
          <w:rFonts w:ascii="Times New Roman" w:hAnsi="Times New Roman" w:eastAsia="宋体"/>
          <w:b w:val="0"/>
          <w:i w:val="0"/>
          <w:sz w:val="24"/>
        </w:rPr>
        <w:t>14. Knott M, Krebs M, Kerscher A. Large language models in healthcare quality management: a European perspective on process automation and compliance. Front Digit Health 2026;8:1761641.</w:t>
      </w:r>
    </w:p>
    <w:p>
      <w:pPr>
        <w:spacing w:before="80" w:after="80" w:lineRule="auto" w:line="360"/>
        <w:ind w:firstLine="0"/>
        <w:jc w:val="both"/>
      </w:pPr>
      <w:r>
        <w:rPr>
          <w:rFonts w:ascii="Times New Roman" w:hAnsi="Times New Roman" w:eastAsia="宋体"/>
          <w:b/>
          <w:i w:val="0"/>
          <w:sz w:val="24"/>
        </w:rPr>
        <w:t>Word count (main text, excluding title page, abstract, tables, figures, and references)</w:t>
      </w:r>
      <w:r>
        <w:rPr>
          <w:rFonts w:ascii="Times New Roman" w:hAnsi="Times New Roman" w:eastAsia="宋体"/>
          <w:b w:val="0"/>
          <w:i w:val="0"/>
          <w:sz w:val="24"/>
        </w:rPr>
        <w:t>: ~5,500 words</w:t>
      </w:r>
    </w:p>
    <w:p>
      <w:pPr>
        <w:spacing w:before="80" w:after="80" w:lineRule="auto" w:line="360"/>
        <w:ind w:firstLine="0"/>
        <w:jc w:val="both"/>
      </w:pPr>
      <w:r>
        <w:rPr>
          <w:rFonts w:ascii="Times New Roman" w:hAnsi="Times New Roman" w:eastAsia="宋体"/>
          <w:b/>
          <w:i w:val="0"/>
          <w:sz w:val="24"/>
        </w:rPr>
        <w:t>Tables</w:t>
      </w:r>
      <w:r>
        <w:rPr>
          <w:rFonts w:ascii="Times New Roman" w:hAnsi="Times New Roman" w:eastAsia="宋体"/>
          <w:b w:val="0"/>
          <w:i w:val="0"/>
          <w:sz w:val="24"/>
        </w:rPr>
        <w:t>: 4</w:t>
      </w:r>
    </w:p>
    <w:p>
      <w:pPr>
        <w:spacing w:before="80" w:after="80" w:lineRule="auto" w:line="360"/>
        <w:ind w:firstLine="0"/>
        <w:jc w:val="both"/>
      </w:pPr>
      <w:r>
        <w:rPr>
          <w:rFonts w:ascii="Times New Roman" w:hAnsi="Times New Roman" w:eastAsia="宋体"/>
          <w:b/>
          <w:i w:val="0"/>
          <w:sz w:val="24"/>
        </w:rPr>
        <w:t>Figures</w:t>
      </w:r>
      <w:r>
        <w:rPr>
          <w:rFonts w:ascii="Times New Roman" w:hAnsi="Times New Roman" w:eastAsia="宋体"/>
          <w:b w:val="0"/>
          <w:i w:val="0"/>
          <w:sz w:val="24"/>
        </w:rPr>
        <w:t>: 4</w:t>
      </w:r>
    </w:p>
    <w:p>
      <w:pPr>
        <w:spacing w:before="80" w:after="80" w:lineRule="auto" w:line="360"/>
        <w:ind w:firstLine="0"/>
        <w:jc w:val="both"/>
      </w:pPr>
      <w:r>
        <w:rPr>
          <w:rFonts w:ascii="Times New Roman" w:hAnsi="Times New Roman" w:eastAsia="宋体"/>
          <w:b/>
          <w:i w:val="0"/>
          <w:sz w:val="24"/>
        </w:rPr>
        <w:t>References</w:t>
      </w:r>
      <w:r>
        <w:rPr>
          <w:rFonts w:ascii="Times New Roman" w:hAnsi="Times New Roman" w:eastAsia="宋体"/>
          <w:b w:val="0"/>
          <w:i w:val="0"/>
          <w:sz w:val="24"/>
        </w:rPr>
        <w:t>: 14</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