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质量管理体系文件的评估：prompt 配置、LLM-as-judge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：Prompt configuration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：评估大语言模型（LLM）辅助起草的 ISO 15189:2022 质量管理体系（QMS）文件的合规性。</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评判者层，只有“规则”成分显著提高合规分［Δ=0.511，bootstrap 95% CI（0.28, 0.75）；BH-adjusted p&lt;0.001］。全量上下文配置 C_full（~56,000 tokens）在 Claude 下评分 3.22–4.56，在 GPT-5.4 下仅 1.40–1.84。两位评判者都把 Claude 生成的输出评得高约 0.3 分（Panickssery 自我偏好指数：Claude +0.29、GPT −0.30），该效应集中于 C_full，与经典自我偏好不符。同单位专家间一致性极佳［ICC(2,k)=0.982］；评判者与专家一致性至多中等［ICC(3,1)=0.548 vs 0.217］，置信区间宽且跨过 0，两位评判者把专家评分高估 0.52–0.90 分。LLM 偏好的 H4_sop_only 在专家评估下跌至 7 配置中的第 5 名，带完整文档模板的配置排名最高（4.06–4.24）。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：最优配置因评估层级而异：极简 prompt（~1,000–2,000 tokens）较适合需后续人工把关的探索性草稿；对于拟提交认可的文件，带完整文档模板的 prompt（~15,000–16,000 tokens）往往表现更好；C_full 在 GPT-5.4 下表现明显下降、宜谨慎使用——此项基于 3 个任务、未经专家层验证，属初步观察。LLM-as-judge 可用于初筛，但专家终审仍不可或缺。</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：ISO 15189; large language models; LLM-as-judge; medical laboratory accreditation; prompt engineering; quality management system</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最少需要多少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Supplementary Table S1，原始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共用一套五维度评分量规（Supplementary Table S2）——条款满足度、可操作性、内部一致性、PDCA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补上——量规中的“条款满足度”维度把“大量条款仅引用未落实”直接判为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主任评审员”，按共用量规的五个维度给每份覆盖到的文件打一次分，经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的四个象限都有数据，因此仍能做自我偏好分解。Supplementary Table S2 给出了 5 分、3 分、1 分的明确标准（分别对应完全符合、部分符合、严重不符）；中间的 4、2 分由评分者在相邻两档之间判断；0 分表示该维度无法评估。这些标准对所有评判者与专家完全一致。</w:t>
      </w:r>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2）显示规则效应在三类任务中方向一致，不支持该效应由个别任务驱动。四个成分对比之间存在配置重叠、并不独立，因此多重比较用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2）。我们特意用这种最直接的对比而非更复杂的统计模型，因为它最直观、最好解读。需说明的是，9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1）。综合分由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1.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2。</w:t>
      </w:r>
    </w:p>
    <w:p>
      <w:pPr>
        <w:spacing w:before="120" w:after="40" w:lineRule="auto" w:line="360"/>
        <w:ind w:firstLine="0"/>
        <w:jc w:val="center"/>
      </w:pPr>
      <w:r>
        <w:rPr>
          <w:rFonts w:ascii="Times New Roman" w:hAnsi="Times New Roman" w:eastAsia="宋体"/>
          <w:b/>
          <w:i w:val="0"/>
          <w:sz w:val="24"/>
        </w:rPr>
        <w:t>Table 2.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2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Supplementary Table S2）。真正按文件类型分层——把通用管理文件与检验技术文件分开比较——本研究做不到，因为任务集里根本没有技术类文件（第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3，结果与 LLM 评判者层几乎相反（Figure 4b）。</w:t>
      </w:r>
    </w:p>
    <w:p>
      <w:pPr>
        <w:spacing w:before="120" w:after="40" w:lineRule="auto" w:line="360"/>
        <w:ind w:firstLine="0"/>
        <w:jc w:val="center"/>
      </w:pPr>
      <w:r>
        <w:rPr>
          <w:rFonts w:ascii="Times New Roman" w:hAnsi="Times New Roman" w:eastAsia="宋体"/>
          <w:b/>
          <w:i w:val="0"/>
          <w:sz w:val="24"/>
        </w:rPr>
        <w:t>Table 3.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排名前三的都是带完整文档模板的配置（专家均分 4.06–4.24）；而在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1）与专家小组（Table 3）的配置排名对比：LLM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分（每个配置样本极小，仅为探索性观察）。一个可能的解释是：模型自身的知识并不能可靠覆盖 ISO 15189:2022 与 CNAS-CL02:2023 所要求的临床操作细节——在本研究的任务中，包括急诊样本处理、患者自采样本的接收、样本运送人员的资格要求，以及详细的样本拒收标准。当这些内容未在 system prompt 中明确给出时，模型往往回退至通用的程序化表述：这类表述虽能满足结构与术语层面的合规（自动评分与 LLM 评判者最易识别的两个维度，第 3.6 节），却缺乏拟提交认可的文件所要求的实际可操作性。因此，prompt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4）。</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4。关键的取舍（第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4.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4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配置随评估层级而异：LLM 评判者偏好的 H4_sop_only 在专家评估下跌至第 5，带完整文档模板的 F_template、H2_keep_examples 与 G_template_rules 排名最高（Table 3）。但无论哪类配置，生成的都只是供参考的初稿，不能直接提交认可。极简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归档（DOI：10.5281/zenodo.20091463；https://doi.org/10.5281/zenodo.20091463）。</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count（正文，不含题页、摘要、表、图与参考文献）</w:t>
      </w:r>
      <w:r>
        <w:rPr>
          <w:rFonts w:ascii="Times New Roman" w:hAnsi="Times New Roman" w:eastAsia="宋体"/>
          <w:b w:val="0"/>
          <w:i w:val="0"/>
          <w:sz w:val="24"/>
        </w:rPr>
        <w:t>：约 8,800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