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Input Specification,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Input specification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Background</w:t>
      </w:r>
      <w:r>
        <w:rPr>
          <w:rFonts w:ascii="Times New Roman" w:hAnsi="Times New Roman" w:eastAsia="宋体"/>
          <w:b w:val="0"/>
          <w:i w:val="0"/>
          <w:sz w:val="24"/>
        </w:rPr>
        <w:t>: ISO 15189 quality management system (QMS) documents are what a laboratory builds and runs its system upon; producing them is not merely a writing task. When large language models (LLMs) are used to draft such documents, local requirements are usually not written into the prompt, and the output is often scored by another LLM. Each step carries a risk: with too little input, a model may produce generic text that is only superficially compliant, and whether LLM scoring agrees with expert judgement is unknown. Neither practice has been tested empirically.</w:t>
      </w:r>
    </w:p>
    <w:p>
      <w:pPr>
        <w:spacing w:before="80" w:after="80" w:lineRule="auto" w:line="360"/>
        <w:ind w:firstLine="0"/>
        <w:jc w:val="both"/>
      </w:pPr>
      <w:r>
        <w:rPr>
          <w:rFonts w:ascii="Times New Roman" w:hAnsi="Times New Roman" w:eastAsia="宋体"/>
          <w:b/>
          <w:i w:val="0"/>
          <w:sz w:val="24"/>
        </w:rPr>
        <w:t>Objective</w:t>
      </w:r>
      <w:r>
        <w:rPr>
          <w:rFonts w:ascii="Times New Roman" w:hAnsi="Times New Roman" w:eastAsia="宋体"/>
          <w:b w:val="0"/>
          <w:i w:val="0"/>
          <w:sz w:val="24"/>
        </w:rPr>
        <w:t>: To evaluate the ISO 15189:2022 compliance of QMS documents drafted with LLM assistance, and to determine how much input the model must be given for such drafting.</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The nine configurations broadly cover the input content laboratories commonly provide today, and none of them included laboratory-specific local information.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bootstrap 95% CI (0.28, 0.75); BH-adjusted p &lt; 0.001]. The full-context C_full (~56,000 tokens) scored 3.22–4.56 with Claude but only 1.40–1.84 with GPT-5.4. Both judges rated Claude-generated outputs ~0.3 points higher (Panickssery self-preference index: +0.29 Claude, −0.30 GPT), an effect concentrated at C_full and incompatible with classical self-preference. Within-institution expert agreement was excellent [ICC(2,k) = 0.982]; judge–expert agreement was at best moderate [ICC(3,1) = 0.548 vs 0.217], with wide confidence intervals crossing zero, and both judges overestimated expert scores by 0.52–0.90 points. The LLM-favored H4_sop_only fell to fifth of seven under expert review, whereas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and output quality depended on whether the requirements were stated specifically, not on how long the prompt was: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 The natural next step is to have laboratory professionals formulate their local process requirements before generation begins; this approach is currently under evaluation.</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 ISO 15189; large language models; LLM-as-judge; medical laboratory accreditation; prompt engineering; quality management system</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This documentation is not merely text to be delivered. It records how the laboratory actually operates, and writing it is part of how staff build competence, responsibility, and risk awareness.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input that must be provided, in content and in token count?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80" w:after="80" w:lineRule="auto" w:line="360"/>
        <w:ind w:firstLine="0"/>
        <w:jc w:val="both"/>
      </w:pPr>
      <w:r>
        <w:rPr>
          <w:rFonts w:ascii="Times New Roman" w:hAnsi="Times New Roman" w:eastAsia="宋体"/>
          <w:b w:val="0"/>
          <w:i w:val="0"/>
          <w:sz w:val="24"/>
        </w:rPr>
        <w:t>The nine configurations supplied the models with requirement rules, document skeletons, detailed drafting guidance, and worked examples; C_full contained the full standard texts and an existing document library (Figure 1; all system prompts are openly released). None of this content included actual local information. C_full did have a basic laboratory-information template, with sections for staffing, floor plan, equipment, specimen logistics, and quality control, but every field was an empty placeholder; nor did any configuration state the laboratory's real process requirements, available resources, or risk-based acceptance criteria. This is the input the study examines.</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Table S1 in Multimedia Appendix 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a five-dimensional rubric (Table S2 in Multimedia Appendix 1)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the rubric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the shared rubric,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Table S2 in Multimedia Appendix 1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2),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2).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1).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1.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2.</w:t>
      </w:r>
    </w:p>
    <w:p>
      <w:pPr>
        <w:spacing w:before="120" w:after="40" w:lineRule="auto" w:line="360"/>
        <w:ind w:firstLine="0"/>
        <w:jc w:val="center"/>
      </w:pPr>
      <w:r>
        <w:rPr>
          <w:rFonts w:ascii="Times New Roman" w:hAnsi="Times New Roman" w:eastAsia="宋体"/>
          <w:b/>
          <w:i w:val="0"/>
          <w:sz w:val="24"/>
        </w:rPr>
        <w:t>Table 2.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2,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(Table S2 in Multimedia Appendix 1),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3, and is almost the reverse of the LLM-judge tier (Figure 4b).</w:t>
      </w:r>
    </w:p>
    <w:p>
      <w:pPr>
        <w:spacing w:before="120" w:after="40" w:lineRule="auto" w:line="360"/>
        <w:ind w:firstLine="0"/>
        <w:jc w:val="center"/>
      </w:pPr>
      <w:r>
        <w:rPr>
          <w:rFonts w:ascii="Times New Roman" w:hAnsi="Times New Roman" w:eastAsia="宋体"/>
          <w:b/>
          <w:i w:val="0"/>
          <w:sz w:val="24"/>
        </w:rPr>
        <w:t>Table 3.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expert means 4.06–4.24),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This gap is expected rather than surprising: a model cannot write what it was never told. The clinical-practice details these documents need – emergency-sample handling, acceptance of patient-self-collected specimens, qualification requirements for sample-courier personnel, and detailed sample-rejection criteria – are each laboratory's own basic information, not something the model comes with, and none of our configurations included them (Section 2.1). Without that input the model falls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The gap in the expert scores comes precisely from this.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4).</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4.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4.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4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80" w:after="80" w:lineRule="auto" w:line="360"/>
        <w:ind w:firstLine="0"/>
        <w:jc w:val="both"/>
      </w:pPr>
      <w:r>
        <w:rPr>
          <w:rFonts w:ascii="Times New Roman" w:hAnsi="Times New Roman" w:eastAsia="宋体"/>
          <w:b w:val="0"/>
          <w:i w:val="0"/>
          <w:sz w:val="24"/>
        </w:rPr>
        <w:t>Implementing ISO 15189 does not mean turning the standard's "you shall do A" into a document that says "we do A"; a document earns its place in a QMS only when it describes a process the laboratory has actually built, resourced, and verified. LLM output that merely restates the standard in the first person is not implementation, and our expert-tier results show how far such documents fall short under qualified review.</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 Above all, no configuration carried a formulated local requirements specification, so this study measures drafting without local input rather than the best that LLM assistance could achieve.</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and output quality depends on whether the requirements are stated specifically, not on how long the prompt is: the LLM-judge favorite H4_sop_only fell to fifth under expert review, whereas the template-anchored F_template, H2_keep_examples, and G_template_rules ranked highest (Table 3).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 The natural next step is to have laboratory professionals formulate their local process requirements before generation begins; this approach is currently under evaluation.</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1) versus the expert panel (Table 3):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International Organization for Standardization. ISO 15189:2022 Medical laboratories — requirements for quality and competence. International Organization for Standardization; 2022. Accessed August 5, 2026. https://www.iso.org/standard/76677.html</w:t>
      </w:r>
    </w:p>
    <w:p>
      <w:pPr>
        <w:spacing w:before="80" w:after="80" w:lineRule="auto" w:line="360"/>
        <w:ind w:firstLine="0"/>
        <w:jc w:val="both"/>
      </w:pPr>
      <w:r>
        <w:rPr>
          <w:rFonts w:ascii="Times New Roman" w:hAnsi="Times New Roman" w:eastAsia="宋体"/>
          <w:b w:val="0"/>
          <w:i w:val="0"/>
          <w:sz w:val="24"/>
        </w:rPr>
        <w:t xml:space="preserve">2. Yang S, Zhou Y, Wang C, Luo M. The 'Double Helix' model of quality monitoring: risk mapping of quality management system during initial ISO 15189 implementation in a medical laboratory. </w:t>
      </w:r>
      <w:r>
        <w:rPr>
          <w:rFonts w:ascii="Times New Roman" w:hAnsi="Times New Roman" w:eastAsia="宋体"/>
          <w:b w:val="0"/>
          <w:i/>
          <w:sz w:val="24"/>
        </w:rPr>
        <w:t>PLoS One</w:t>
      </w:r>
      <w:r>
        <w:rPr>
          <w:rFonts w:ascii="Times New Roman" w:hAnsi="Times New Roman" w:eastAsia="宋体"/>
          <w:b w:val="0"/>
          <w:i w:val="0"/>
          <w:sz w:val="24"/>
        </w:rPr>
        <w:t>. 2026;21:e0342129. doi:10.1371/journal.pone.0342129</w:t>
      </w:r>
    </w:p>
    <w:p>
      <w:pPr>
        <w:spacing w:before="80" w:after="80" w:lineRule="auto" w:line="360"/>
        <w:ind w:firstLine="0"/>
        <w:jc w:val="both"/>
      </w:pPr>
      <w:r>
        <w:rPr>
          <w:rFonts w:ascii="Times New Roman" w:hAnsi="Times New Roman" w:eastAsia="宋体"/>
          <w:b w:val="0"/>
          <w:i w:val="0"/>
          <w:sz w:val="24"/>
        </w:rPr>
        <w:t>3. Anthropic. Claude Opus 4.6 system card. Anthropic; 2026. Accessed May 9, 2026. https://www.anthropic.com/claude-opus-4-6-system-card</w:t>
      </w:r>
    </w:p>
    <w:p>
      <w:pPr>
        <w:spacing w:before="80" w:after="80" w:lineRule="auto" w:line="360"/>
        <w:ind w:firstLine="0"/>
        <w:jc w:val="both"/>
      </w:pPr>
      <w:r>
        <w:rPr>
          <w:rFonts w:ascii="Times New Roman" w:hAnsi="Times New Roman" w:eastAsia="宋体"/>
          <w:b w:val="0"/>
          <w:i w:val="0"/>
          <w:sz w:val="24"/>
        </w:rPr>
        <w:t>4. OpenAI. GPT-5 system card. OpenAI; 2025. Accessed May 9, 2026. https://openai.com/index/gpt-5-system-card/</w:t>
      </w:r>
    </w:p>
    <w:p>
      <w:pPr>
        <w:spacing w:before="80" w:after="80" w:lineRule="auto" w:line="360"/>
        <w:ind w:firstLine="0"/>
        <w:jc w:val="both"/>
      </w:pPr>
      <w:r>
        <w:rPr>
          <w:rFonts w:ascii="Times New Roman" w:hAnsi="Times New Roman" w:eastAsia="宋体"/>
          <w:b w:val="0"/>
          <w:i w:val="0"/>
          <w:sz w:val="24"/>
        </w:rPr>
        <w:t>5. Zhao WX, Zhou K, Li J, et al. A survey of large language models. arXiv. Preprint posted online 2023. doi:10.48550/arXiv.2303.18223</w:t>
      </w:r>
    </w:p>
    <w:p>
      <w:pPr>
        <w:spacing w:before="80" w:after="80" w:lineRule="auto" w:line="360"/>
        <w:ind w:firstLine="0"/>
        <w:jc w:val="both"/>
      </w:pPr>
      <w:r>
        <w:rPr>
          <w:rFonts w:ascii="Times New Roman" w:hAnsi="Times New Roman" w:eastAsia="宋体"/>
          <w:b w:val="0"/>
          <w:i w:val="0"/>
          <w:sz w:val="24"/>
        </w:rPr>
        <w:t>6. Schulhoff S, Ilie M, Balepur N, et al. The prompt report: a systematic survey of prompting techniques. arXiv. Preprint posted online 2024. doi:10.48550/arXiv.2406.06608</w:t>
      </w:r>
    </w:p>
    <w:p>
      <w:pPr>
        <w:spacing w:before="80" w:after="80" w:lineRule="auto" w:line="360"/>
        <w:ind w:firstLine="0"/>
        <w:jc w:val="both"/>
      </w:pPr>
      <w:r>
        <w:rPr>
          <w:rFonts w:ascii="Times New Roman" w:hAnsi="Times New Roman" w:eastAsia="宋体"/>
          <w:b w:val="0"/>
          <w:i w:val="0"/>
          <w:sz w:val="24"/>
        </w:rPr>
        <w:t>7. Zheng L, Chiang WL, Sheng Y, et al. Judging LLM-as-a-judge with MT-Bench and Chatbot Arena. In: Advances in Neural Information Processing Systems 36 (NeurIPS 2023), Datasets and Benchmarks Track; 2023. doi:10.48550/arXiv.2306.05685</w:t>
      </w:r>
    </w:p>
    <w:p>
      <w:pPr>
        <w:spacing w:before="80" w:after="80" w:lineRule="auto" w:line="360"/>
        <w:ind w:firstLine="0"/>
        <w:jc w:val="both"/>
      </w:pPr>
      <w:r>
        <w:rPr>
          <w:rFonts w:ascii="Times New Roman" w:hAnsi="Times New Roman" w:eastAsia="宋体"/>
          <w:b w:val="0"/>
          <w:i w:val="0"/>
          <w:sz w:val="24"/>
        </w:rPr>
        <w:t>8. Tan H, Guo Z, Shi Z, et al. ProxyQA: an alternative framework for evaluating long-form text generation with large language models. In: Proceedings of the 62nd Annual Meeting of the Association for Computational Linguistics (Volume 1: Long Papers). Association for Computational Linguistics; 2024:6806-6827. doi:10.18653/v1/2024.acl-long.368</w:t>
      </w:r>
    </w:p>
    <w:p>
      <w:pPr>
        <w:spacing w:before="80" w:after="80" w:lineRule="auto" w:line="360"/>
        <w:ind w:firstLine="0"/>
        <w:jc w:val="both"/>
      </w:pPr>
      <w:r>
        <w:rPr>
          <w:rFonts w:ascii="Times New Roman" w:hAnsi="Times New Roman" w:eastAsia="宋体"/>
          <w:b w:val="0"/>
          <w:i w:val="0"/>
          <w:sz w:val="24"/>
        </w:rPr>
        <w:t>9. Chiang WL, Zheng L, Sheng Y, et al. Chatbot Arena: an open platform for evaluating LLMs by human preference. arXiv. Preprint posted online 2024. doi:10.48550/arXiv.2403.04132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posted online 2024. doi:10.48550/arXiv.2404.13076</w:t>
      </w:r>
    </w:p>
    <w:p>
      <w:pPr>
        <w:spacing w:before="80" w:after="80" w:lineRule="auto" w:line="360"/>
        <w:ind w:firstLine="0"/>
        <w:jc w:val="both"/>
      </w:pPr>
      <w:r>
        <w:rPr>
          <w:rFonts w:ascii="Times New Roman" w:hAnsi="Times New Roman" w:eastAsia="宋体"/>
          <w:b w:val="0"/>
          <w:i w:val="0"/>
          <w:sz w:val="24"/>
        </w:rPr>
        <w:t xml:space="preserve">11. Shrout PE, Fleiss JL. Intraclass correlations: uses in assessing rater reliability. </w:t>
      </w:r>
      <w:r>
        <w:rPr>
          <w:rFonts w:ascii="Times New Roman" w:hAnsi="Times New Roman" w:eastAsia="宋体"/>
          <w:b w:val="0"/>
          <w:i/>
          <w:sz w:val="24"/>
        </w:rPr>
        <w:t>Psychol Bull</w:t>
      </w:r>
      <w:r>
        <w:rPr>
          <w:rFonts w:ascii="Times New Roman" w:hAnsi="Times New Roman" w:eastAsia="宋体"/>
          <w:b w:val="0"/>
          <w:i w:val="0"/>
          <w:sz w:val="24"/>
        </w:rPr>
        <w:t>. 1979;86(2):420-428. doi:10.1037//0033-2909.86.2.420</w:t>
      </w:r>
    </w:p>
    <w:p>
      <w:pPr>
        <w:spacing w:before="80" w:after="80" w:lineRule="auto" w:line="360"/>
        <w:ind w:firstLine="0"/>
        <w:jc w:val="both"/>
      </w:pPr>
      <w:r>
        <w:rPr>
          <w:rFonts w:ascii="Times New Roman" w:hAnsi="Times New Roman" w:eastAsia="宋体"/>
          <w:b w:val="0"/>
          <w:i w:val="0"/>
          <w:sz w:val="24"/>
        </w:rPr>
        <w:t xml:space="preserve">12. Cicchetti DV. Guidelines, criteria, and rules of thumb for evaluating normed and standardized assessment instruments in psychology. </w:t>
      </w:r>
      <w:r>
        <w:rPr>
          <w:rFonts w:ascii="Times New Roman" w:hAnsi="Times New Roman" w:eastAsia="宋体"/>
          <w:b w:val="0"/>
          <w:i/>
          <w:sz w:val="24"/>
        </w:rPr>
        <w:t>Psychol Assess</w:t>
      </w:r>
      <w:r>
        <w:rPr>
          <w:rFonts w:ascii="Times New Roman" w:hAnsi="Times New Roman" w:eastAsia="宋体"/>
          <w:b w:val="0"/>
          <w:i w:val="0"/>
          <w:sz w:val="24"/>
        </w:rPr>
        <w:t>. 1994;6(4):284-290. doi:10.1037/1040-3590.6.4.284</w:t>
      </w:r>
    </w:p>
    <w:p>
      <w:pPr>
        <w:spacing w:before="80" w:after="80" w:lineRule="auto" w:line="360"/>
        <w:ind w:firstLine="0"/>
        <w:jc w:val="both"/>
      </w:pPr>
      <w:r>
        <w:rPr>
          <w:rFonts w:ascii="Times New Roman" w:hAnsi="Times New Roman" w:eastAsia="宋体"/>
          <w:b w:val="0"/>
          <w:i w:val="0"/>
          <w:sz w:val="24"/>
        </w:rPr>
        <w:t xml:space="preserve">13. Liu NF, Lin K, Hewitt J, et al. Lost in the middle: how language models use long contexts. </w:t>
      </w:r>
      <w:r>
        <w:rPr>
          <w:rFonts w:ascii="Times New Roman" w:hAnsi="Times New Roman" w:eastAsia="宋体"/>
          <w:b w:val="0"/>
          <w:i/>
          <w:sz w:val="24"/>
        </w:rPr>
        <w:t>Trans Assoc Comput Linguist</w:t>
      </w:r>
      <w:r>
        <w:rPr>
          <w:rFonts w:ascii="Times New Roman" w:hAnsi="Times New Roman" w:eastAsia="宋体"/>
          <w:b w:val="0"/>
          <w:i w:val="0"/>
          <w:sz w:val="24"/>
        </w:rPr>
        <w:t>. 2024;12:157-173. doi:10.1162/tacl_a_00638</w:t>
      </w:r>
    </w:p>
    <w:p>
      <w:pPr>
        <w:spacing w:before="80" w:after="80" w:lineRule="auto" w:line="360"/>
        <w:ind w:firstLine="0"/>
        <w:jc w:val="both"/>
      </w:pPr>
      <w:r>
        <w:rPr>
          <w:rFonts w:ascii="Times New Roman" w:hAnsi="Times New Roman" w:eastAsia="宋体"/>
          <w:b w:val="0"/>
          <w:i w:val="0"/>
          <w:sz w:val="24"/>
        </w:rPr>
        <w:t xml:space="preserve">14. Knott M, Krebs M, Kerscher A. Large language models in healthcare quality management: a European perspective on process automation and compliance. </w:t>
      </w:r>
      <w:r>
        <w:rPr>
          <w:rFonts w:ascii="Times New Roman" w:hAnsi="Times New Roman" w:eastAsia="宋体"/>
          <w:b w:val="0"/>
          <w:i/>
          <w:sz w:val="24"/>
        </w:rPr>
        <w:t>Front Digit Health</w:t>
      </w:r>
      <w:r>
        <w:rPr>
          <w:rFonts w:ascii="Times New Roman" w:hAnsi="Times New Roman" w:eastAsia="宋体"/>
          <w:b w:val="0"/>
          <w:i w:val="0"/>
          <w:sz w:val="24"/>
        </w:rPr>
        <w:t>. 2026;8:1761641. doi:10.3389/fdgth.2026.1761641</w:t>
      </w:r>
    </w:p>
    <w:p>
      <w:pPr>
        <w:spacing w:before="80" w:after="80" w:lineRule="auto" w:line="360"/>
        <w:ind w:firstLine="0"/>
        <w:jc w:val="both"/>
      </w:pPr>
      <w:r>
        <w:rPr>
          <w:rFonts w:ascii="Times New Roman" w:hAnsi="Times New Roman" w:eastAsia="宋体"/>
          <w:b/>
          <w:i w:val="0"/>
          <w:sz w:val="24"/>
        </w:rPr>
        <w:t>Word count (main text, excluding title page, abstract, tables, figures, and references)</w:t>
      </w:r>
      <w:r>
        <w:rPr>
          <w:rFonts w:ascii="Times New Roman" w:hAnsi="Times New Roman" w:eastAsia="宋体"/>
          <w:b w:val="0"/>
          <w:i w:val="0"/>
          <w:sz w:val="24"/>
        </w:rPr>
        <w:t>: ~5,800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