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质量管理体系文件的评估：输入规格、LLM-as-judge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：Input specification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Background</w:t>
      </w:r>
      <w:r>
        <w:rPr>
          <w:rFonts w:ascii="Times New Roman" w:hAnsi="Times New Roman" w:eastAsia="宋体"/>
          <w:b w:val="0"/>
          <w:i w:val="0"/>
          <w:sz w:val="24"/>
        </w:rPr>
        <w:t>：ISO 15189 质量管理体系（QMS）文件是实验室建立并运行体系所依据的，不仅仅是一项写作任务。大语言模型（LLM）被用于起草此类文件时，prompt 中通常未写明本地需求，产出也常由 LLM 来评分。这两个环节各藏着一个风险：输入不足时，模型可能只产出表面合规的通用文本；而 LLM 评分与专家判断是否一致，并不清楚。两者目前都缺乏实证检验。</w:t>
      </w:r>
    </w:p>
    <w:p>
      <w:pPr>
        <w:spacing w:before="80" w:after="80" w:lineRule="auto" w:line="360"/>
        <w:ind w:firstLine="0"/>
        <w:jc w:val="both"/>
      </w:pPr>
      <w:r>
        <w:rPr>
          <w:rFonts w:ascii="Times New Roman" w:hAnsi="Times New Roman" w:eastAsia="宋体"/>
          <w:b/>
          <w:i w:val="0"/>
          <w:sz w:val="24"/>
        </w:rPr>
        <w:t>Objective</w:t>
      </w:r>
      <w:r>
        <w:rPr>
          <w:rFonts w:ascii="Times New Roman" w:hAnsi="Times New Roman" w:eastAsia="宋体"/>
          <w:b w:val="0"/>
          <w:i w:val="0"/>
          <w:sz w:val="24"/>
        </w:rPr>
        <w:t>：评估 LLM 辅助起草的 QMS 文件对 ISO 15189:2022 的合规性，并确定这类起草需要向模型提供多少内容的输入。</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tokens）。这 9 个配置基本覆盖了当下实验室常用的输入内容，而且任何配置均不包含实验室特定的本地信息。合规性按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评判者层，只有“规则”成分显著提高合规分［Δ=0.511，bootstrap 95% CI（0.28, 0.75）；BH-adjusted p&lt;0.001］。全量上下文配置 C_full（~56,000 tokens）在 Claude 下评分 3.22–4.56，在 GPT-5.4 下仅 1.40–1.84。两位评判者都把 Claude 生成的输出评得高约 0.3 分（Panickssery 自我偏好指数：Claude +0.29、GPT −0.30），该效应集中于 C_full，与经典自我偏好不符。同单位专家间一致性极佳［ICC(2,k)=0.982］；评判者与专家一致性至多中等［ICC(3,1)=0.548 vs 0.217］，置信区间宽且跨过 0，两位评判者把专家评分高估 0.52–0.90 分。LLM 偏好的 H4_sop_only 在专家评估下跌至 7 配置中的第 5 名，带完整文档模板的配置排名最高（4.06–4.24）。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：最优配置因评估层级而异，而输出质量取决于要求是否写得具体，而不是 prompt 的长短：极简 prompt（~1,000–2,000 tokens）较适合需后续人工把关的探索性草稿；对于拟提交认可的文件，带完整文档模板的 prompt（~15,000–16,000 tokens）往往表现更好；C_full 在 GPT-5.4 下表现明显下降、宜谨慎使用——此项基于 3 个任务、未经专家层验证，属初步观察。LLM-as-judge 可用于初筛，但专家终审仍不可或缺。下一步是让检验专业人员先写清本地的过程需求，再交给模型生成；该方案目前正在评估中。</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：ISO 15189; large language models; LLM-as-judge; medical laboratory accreditation; prompt engineering; quality management system</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这套文件不仅仅是要交付的文本，还记录实验室实际如何运转，撰写文件的过程本身就是人员建立能力、责任与风险意识的一部分。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至少需要提供什么内容、使用多少的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80" w:after="80" w:lineRule="auto" w:line="360"/>
        <w:ind w:firstLine="0"/>
        <w:jc w:val="both"/>
      </w:pPr>
      <w:r>
        <w:rPr>
          <w:rFonts w:ascii="Times New Roman" w:hAnsi="Times New Roman" w:eastAsia="宋体"/>
          <w:b w:val="0"/>
          <w:i w:val="0"/>
          <w:sz w:val="24"/>
        </w:rPr>
        <w:t>这 9 组配置给模型的输入内容包括：要求规则、文档骨架、详细编写指引与 worked examples；C_full 包含标准全文和既有文档库（Figure 1，全部 system prompt 已公开）。这些内容都不含实际的本地信息。C_full 虽然设置了一份实验室的基础信息模板，包括人员、场地、设备、标本流转、质控等章节，但字段全是空的占位符；各配置也都没有写明实验室实际的过程需求、可用资源和基于风险的验收准则。这正是本研究考察的输入内容。</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Table S1 in Multimedia Appendix 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共用一套五维度评分量规（Table S2 in Multimedia Appendix 1）——条款满足度、可操作性、内部一致性、PDCA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补上——量规中的“条款满足度”维度把“大量条款仅引用未落实”直接判为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主任评审员”，按共用量规的五个维度给每份覆盖到的文件打一次分，经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S2 in Multimedia Appendix 1 给出了 5 分、3 分、1 分的明确标准（分别对应完全符合、部分符合、严重不符）；中间的 4、2 分由评分者在相邻两档之间判断；0 分表示该维度无法评估。这些标准对所有评判者与专家完全一致。</w:t>
      </w:r>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2）显示规则效应在三类任务中方向一致，不支持该效应由个别任务驱动。四个成分对比之间存在配置重叠、并不独立，因此多重比较用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2）。我们特意用这种最直接的对比而非更复杂的统计模型，因为它最直观、最好解读。需说明的是，9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1）。综合分由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1.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2。</w:t>
      </w:r>
    </w:p>
    <w:p>
      <w:pPr>
        <w:spacing w:before="120" w:after="40" w:lineRule="auto" w:line="360"/>
        <w:ind w:firstLine="0"/>
        <w:jc w:val="center"/>
      </w:pPr>
      <w:r>
        <w:rPr>
          <w:rFonts w:ascii="Times New Roman" w:hAnsi="Times New Roman" w:eastAsia="宋体"/>
          <w:b/>
          <w:i w:val="0"/>
          <w:sz w:val="24"/>
        </w:rPr>
        <w:t>Table 2.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2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S2 in Multimedia Appendix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3，结果与 LLM 评判者层几乎相反（Figure 4b）。</w:t>
      </w:r>
    </w:p>
    <w:p>
      <w:pPr>
        <w:spacing w:before="120" w:after="40" w:lineRule="auto" w:line="360"/>
        <w:ind w:firstLine="0"/>
        <w:jc w:val="center"/>
      </w:pPr>
      <w:r>
        <w:rPr>
          <w:rFonts w:ascii="Times New Roman" w:hAnsi="Times New Roman" w:eastAsia="宋体"/>
          <w:b/>
          <w:i w:val="0"/>
          <w:sz w:val="24"/>
        </w:rPr>
        <w:t>Table 3.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排名前三的都是带完整文档模板的配置（专家均分 4.06–4.24）；而在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这个差距在预期之内：模型写不出没有人告诉它的东西。这些文件需要的临床操作细节——急诊样本处理、患者自采样本的接收、样本运送人员的资格要求、详细的样本拒收标准——属于各个实验室的基础信息，并不是模型自带的，而且我们的任何配置里都没有包含这些（第 2.1 节）。缺少这些输入时，模型只能回退至通用的程序化表述：这类表述虽能满足结构与术语层面的合规（自动评分与 LLM 评判者最易识别的两个维度，第 3.6 节），却缺乏拟提交认可的文件所要求的实际可操作性。专家评分的差距正是由此而来。因此，prompt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4）。</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4。关键的取舍（第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4.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4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80" w:after="80" w:lineRule="auto" w:line="360"/>
        <w:ind w:firstLine="0"/>
        <w:jc w:val="both"/>
      </w:pPr>
      <w:r>
        <w:rPr>
          <w:rFonts w:ascii="Times New Roman" w:hAnsi="Times New Roman" w:eastAsia="宋体"/>
          <w:b w:val="0"/>
          <w:i w:val="0"/>
          <w:sz w:val="24"/>
        </w:rPr>
        <w:t>实施 ISO 15189 并不是把标准里的“应做 A”改写成文件里的“我们做 A”；一份文件要在 QMS 中站得住，前提是它描述的过程实验室真正建立过、配置过资源、验证过。LLM 输出若只是用第一人称复述标准，那不是实施；本研究的专家层结果也显示了这类文件在合格评审下的差距。</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生成样本，覆盖技术类与检验后过程文件，统一模型参数，并评估返工负担与患者安全影响。更根本的是，所有配置都没有一份成形的本地需求规格，因此本研究测得的是缺少本地输入时的起草表现，而不是 LLM 辅助所能达到的上限。</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配置随评估层级而异，而输出质量取决于要求是否写得具体，而不是 prompt 的长短：LLM 评判者偏好的 H4_sop_only 在专家评估下跌至第 5，带完整文档模板的 F_template、H2_keep_examples 与 G_template_rules 排名最高（Table 3）。但无论哪类配置，生成的都只是供参考的初稿，不能直接提交认可。极简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能接手的只是其中事务性的文字工作——专家终审仍不可或缺。下一步是让检验专业人员先写清本地的过程需求，再交给模型生成；该方案目前正在评估中。</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归档（DOI：10.5281/zenodo.20091463；https://doi.org/10.5281/zenodo.20091463）。</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1）与专家小组（Table 3）的配置排名对比：LLM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International Organization for Standardization. ISO 15189:2022 Medical laboratories — requirements for quality and competence. International Organization for Standardization; 2022. Accessed August 5, 2026. https://www.iso.org/standard/76677.html</w:t>
      </w:r>
    </w:p>
    <w:p>
      <w:pPr>
        <w:spacing w:before="80" w:after="80" w:lineRule="auto" w:line="360"/>
        <w:ind w:firstLine="0"/>
        <w:jc w:val="both"/>
      </w:pPr>
      <w:r>
        <w:rPr>
          <w:rFonts w:ascii="Times New Roman" w:hAnsi="Times New Roman" w:eastAsia="宋体"/>
          <w:b w:val="0"/>
          <w:i w:val="0"/>
          <w:sz w:val="24"/>
        </w:rPr>
        <w:t xml:space="preserve">2. Yang S, Zhou Y, Wang C, Luo M. The 'Double Helix' model of quality monitoring: risk mapping of quality management system during initial ISO 15189 implementation in a medical laboratory. </w:t>
      </w:r>
      <w:r>
        <w:rPr>
          <w:rFonts w:ascii="Times New Roman" w:hAnsi="Times New Roman" w:eastAsia="宋体"/>
          <w:b w:val="0"/>
          <w:i/>
          <w:sz w:val="24"/>
        </w:rPr>
        <w:t>PLoS One</w:t>
      </w:r>
      <w:r>
        <w:rPr>
          <w:rFonts w:ascii="Times New Roman" w:hAnsi="Times New Roman" w:eastAsia="宋体"/>
          <w:b w:val="0"/>
          <w:i w:val="0"/>
          <w:sz w:val="24"/>
        </w:rPr>
        <w:t>. 2026;21:e0342129. doi:10.1371/journal.pone.0342129</w:t>
      </w:r>
    </w:p>
    <w:p>
      <w:pPr>
        <w:spacing w:before="80" w:after="80" w:lineRule="auto" w:line="360"/>
        <w:ind w:firstLine="0"/>
        <w:jc w:val="both"/>
      </w:pPr>
      <w:r>
        <w:rPr>
          <w:rFonts w:ascii="Times New Roman" w:hAnsi="Times New Roman" w:eastAsia="宋体"/>
          <w:b w:val="0"/>
          <w:i w:val="0"/>
          <w:sz w:val="24"/>
        </w:rPr>
        <w:t>3. Anthropic. Claude Opus 4.6 system card. Anthropic; 2026. Accessed May 9, 2026. https://www.anthropic.com/claude-opus-4-6-system-card</w:t>
      </w:r>
    </w:p>
    <w:p>
      <w:pPr>
        <w:spacing w:before="80" w:after="80" w:lineRule="auto" w:line="360"/>
        <w:ind w:firstLine="0"/>
        <w:jc w:val="both"/>
      </w:pPr>
      <w:r>
        <w:rPr>
          <w:rFonts w:ascii="Times New Roman" w:hAnsi="Times New Roman" w:eastAsia="宋体"/>
          <w:b w:val="0"/>
          <w:i w:val="0"/>
          <w:sz w:val="24"/>
        </w:rPr>
        <w:t>4. OpenAI. GPT-5 system card. OpenAI; 2025. Accessed May 9, 2026. https://openai.com/index/gpt-5-system-card/</w:t>
      </w:r>
    </w:p>
    <w:p>
      <w:pPr>
        <w:spacing w:before="80" w:after="80" w:lineRule="auto" w:line="360"/>
        <w:ind w:firstLine="0"/>
        <w:jc w:val="both"/>
      </w:pPr>
      <w:r>
        <w:rPr>
          <w:rFonts w:ascii="Times New Roman" w:hAnsi="Times New Roman" w:eastAsia="宋体"/>
          <w:b w:val="0"/>
          <w:i w:val="0"/>
          <w:sz w:val="24"/>
        </w:rPr>
        <w:t>5. Zhao WX, Zhou K, Li J, et al. A survey of large language models. arXiv. Preprint posted online 2023. doi:10.48550/arXiv.2303.18223</w:t>
      </w:r>
    </w:p>
    <w:p>
      <w:pPr>
        <w:spacing w:before="80" w:after="80" w:lineRule="auto" w:line="360"/>
        <w:ind w:firstLine="0"/>
        <w:jc w:val="both"/>
      </w:pPr>
      <w:r>
        <w:rPr>
          <w:rFonts w:ascii="Times New Roman" w:hAnsi="Times New Roman" w:eastAsia="宋体"/>
          <w:b w:val="0"/>
          <w:i w:val="0"/>
          <w:sz w:val="24"/>
        </w:rPr>
        <w:t>6. Schulhoff S, Ilie M, Balepur N, et al. The prompt report: a systematic survey of prompting techniques. arXiv. Preprint posted online 2024. doi:10.48550/arXiv.2406.06608</w:t>
      </w:r>
    </w:p>
    <w:p>
      <w:pPr>
        <w:spacing w:before="80" w:after="80" w:lineRule="auto" w:line="360"/>
        <w:ind w:firstLine="0"/>
        <w:jc w:val="both"/>
      </w:pPr>
      <w:r>
        <w:rPr>
          <w:rFonts w:ascii="Times New Roman" w:hAnsi="Times New Roman" w:eastAsia="宋体"/>
          <w:b w:val="0"/>
          <w:i w:val="0"/>
          <w:sz w:val="24"/>
        </w:rPr>
        <w:t>7. Zheng L, Chiang WL, Sheng Y, et al. Judging LLM-as-a-judge with MT-Bench and Chatbot Arena. In: Advances in Neural Information Processing Systems 36 (NeurIPS 2023), Datasets and Benchmarks Track; 2023. doi:10.48550/arXiv.2306.05685</w:t>
      </w:r>
    </w:p>
    <w:p>
      <w:pPr>
        <w:spacing w:before="80" w:after="80" w:lineRule="auto" w:line="360"/>
        <w:ind w:firstLine="0"/>
        <w:jc w:val="both"/>
      </w:pPr>
      <w:r>
        <w:rPr>
          <w:rFonts w:ascii="Times New Roman" w:hAnsi="Times New Roman" w:eastAsia="宋体"/>
          <w:b w:val="0"/>
          <w:i w:val="0"/>
          <w:sz w:val="24"/>
        </w:rPr>
        <w:t>8. Tan H, Guo Z, Shi Z, et al. ProxyQA: an alternative framework for evaluating long-form text generation with large language models. In: Proceedings of the 62nd Annual Meeting of the Association for Computational Linguistics (Volume 1: Long Papers). Association for Computational Linguistics; 2024:6806-6827. doi:10.18653/v1/2024.acl-long.368</w:t>
      </w:r>
    </w:p>
    <w:p>
      <w:pPr>
        <w:spacing w:before="80" w:after="80" w:lineRule="auto" w:line="360"/>
        <w:ind w:firstLine="0"/>
        <w:jc w:val="both"/>
      </w:pPr>
      <w:r>
        <w:rPr>
          <w:rFonts w:ascii="Times New Roman" w:hAnsi="Times New Roman" w:eastAsia="宋体"/>
          <w:b w:val="0"/>
          <w:i w:val="0"/>
          <w:sz w:val="24"/>
        </w:rPr>
        <w:t>9. Chiang WL, Zheng L, Sheng Y, et al. Chatbot Arena: an open platform for evaluating LLMs by human preference. arXiv. Preprint posted online 2024. doi:10.48550/arXiv.2403.04132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posted online 2024. doi:10.48550/arXiv.2404.13076</w:t>
      </w:r>
    </w:p>
    <w:p>
      <w:pPr>
        <w:spacing w:before="80" w:after="80" w:lineRule="auto" w:line="360"/>
        <w:ind w:firstLine="0"/>
        <w:jc w:val="both"/>
      </w:pPr>
      <w:r>
        <w:rPr>
          <w:rFonts w:ascii="Times New Roman" w:hAnsi="Times New Roman" w:eastAsia="宋体"/>
          <w:b w:val="0"/>
          <w:i w:val="0"/>
          <w:sz w:val="24"/>
        </w:rPr>
        <w:t xml:space="preserve">11. Shrout PE, Fleiss JL. Intraclass correlations: uses in assessing rater reliability. </w:t>
      </w:r>
      <w:r>
        <w:rPr>
          <w:rFonts w:ascii="Times New Roman" w:hAnsi="Times New Roman" w:eastAsia="宋体"/>
          <w:b w:val="0"/>
          <w:i/>
          <w:sz w:val="24"/>
        </w:rPr>
        <w:t>Psychol Bull</w:t>
      </w:r>
      <w:r>
        <w:rPr>
          <w:rFonts w:ascii="Times New Roman" w:hAnsi="Times New Roman" w:eastAsia="宋体"/>
          <w:b w:val="0"/>
          <w:i w:val="0"/>
          <w:sz w:val="24"/>
        </w:rPr>
        <w:t>. 1979;86(2):420-428. doi:10.1037//0033-2909.86.2.420</w:t>
      </w:r>
    </w:p>
    <w:p>
      <w:pPr>
        <w:spacing w:before="80" w:after="80" w:lineRule="auto" w:line="360"/>
        <w:ind w:firstLine="0"/>
        <w:jc w:val="both"/>
      </w:pPr>
      <w:r>
        <w:rPr>
          <w:rFonts w:ascii="Times New Roman" w:hAnsi="Times New Roman" w:eastAsia="宋体"/>
          <w:b w:val="0"/>
          <w:i w:val="0"/>
          <w:sz w:val="24"/>
        </w:rPr>
        <w:t xml:space="preserve">12. Cicchetti DV. Guidelines, criteria, and rules of thumb for evaluating normed and standardized assessment instruments in psychology. </w:t>
      </w:r>
      <w:r>
        <w:rPr>
          <w:rFonts w:ascii="Times New Roman" w:hAnsi="Times New Roman" w:eastAsia="宋体"/>
          <w:b w:val="0"/>
          <w:i/>
          <w:sz w:val="24"/>
        </w:rPr>
        <w:t>Psychol Assess</w:t>
      </w:r>
      <w:r>
        <w:rPr>
          <w:rFonts w:ascii="Times New Roman" w:hAnsi="Times New Roman" w:eastAsia="宋体"/>
          <w:b w:val="0"/>
          <w:i w:val="0"/>
          <w:sz w:val="24"/>
        </w:rPr>
        <w:t>. 1994;6(4):284-290. doi:10.1037/1040-3590.6.4.284</w:t>
      </w:r>
    </w:p>
    <w:p>
      <w:pPr>
        <w:spacing w:before="80" w:after="80" w:lineRule="auto" w:line="360"/>
        <w:ind w:firstLine="0"/>
        <w:jc w:val="both"/>
      </w:pPr>
      <w:r>
        <w:rPr>
          <w:rFonts w:ascii="Times New Roman" w:hAnsi="Times New Roman" w:eastAsia="宋体"/>
          <w:b w:val="0"/>
          <w:i w:val="0"/>
          <w:sz w:val="24"/>
        </w:rPr>
        <w:t xml:space="preserve">13. Liu NF, Lin K, Hewitt J, et al. Lost in the middle: how language models use long contexts. </w:t>
      </w:r>
      <w:r>
        <w:rPr>
          <w:rFonts w:ascii="Times New Roman" w:hAnsi="Times New Roman" w:eastAsia="宋体"/>
          <w:b w:val="0"/>
          <w:i/>
          <w:sz w:val="24"/>
        </w:rPr>
        <w:t>Trans Assoc Comput Linguist</w:t>
      </w:r>
      <w:r>
        <w:rPr>
          <w:rFonts w:ascii="Times New Roman" w:hAnsi="Times New Roman" w:eastAsia="宋体"/>
          <w:b w:val="0"/>
          <w:i w:val="0"/>
          <w:sz w:val="24"/>
        </w:rPr>
        <w:t>. 2024;12:157-173. doi:10.1162/tacl_a_00638</w:t>
      </w:r>
    </w:p>
    <w:p>
      <w:pPr>
        <w:spacing w:before="80" w:after="80" w:lineRule="auto" w:line="360"/>
        <w:ind w:firstLine="0"/>
        <w:jc w:val="both"/>
      </w:pPr>
      <w:r>
        <w:rPr>
          <w:rFonts w:ascii="Times New Roman" w:hAnsi="Times New Roman" w:eastAsia="宋体"/>
          <w:b w:val="0"/>
          <w:i w:val="0"/>
          <w:sz w:val="24"/>
        </w:rPr>
        <w:t xml:space="preserve">14. Knott M, Krebs M, Kerscher A. Large language models in healthcare quality management: a European perspective on process automation and compliance. </w:t>
      </w:r>
      <w:r>
        <w:rPr>
          <w:rFonts w:ascii="Times New Roman" w:hAnsi="Times New Roman" w:eastAsia="宋体"/>
          <w:b w:val="0"/>
          <w:i/>
          <w:sz w:val="24"/>
        </w:rPr>
        <w:t>Front Digit Health</w:t>
      </w:r>
      <w:r>
        <w:rPr>
          <w:rFonts w:ascii="Times New Roman" w:hAnsi="Times New Roman" w:eastAsia="宋体"/>
          <w:b w:val="0"/>
          <w:i w:val="0"/>
          <w:sz w:val="24"/>
        </w:rPr>
        <w:t>. 2026;8:1761641. doi:10.3389/fdgth.2026.1761641</w:t>
      </w:r>
    </w:p>
    <w:p>
      <w:pPr>
        <w:spacing w:before="80" w:after="80" w:lineRule="auto" w:line="360"/>
        <w:ind w:firstLine="0"/>
        <w:jc w:val="both"/>
      </w:pPr>
      <w:r>
        <w:rPr>
          <w:rFonts w:ascii="Times New Roman" w:hAnsi="Times New Roman" w:eastAsia="宋体"/>
          <w:b/>
          <w:i w:val="0"/>
          <w:sz w:val="24"/>
        </w:rPr>
        <w:t>Word count（正文，不含题页、摘要、表、图与参考文献）</w:t>
      </w:r>
      <w:r>
        <w:rPr>
          <w:rFonts w:ascii="Times New Roman" w:hAnsi="Times New Roman" w:eastAsia="宋体"/>
          <w:b w:val="0"/>
          <w:i w:val="0"/>
          <w:sz w:val="24"/>
        </w:rPr>
        <w:t>：约 9,200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