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Rule="auto" w:line="360"/>
        <w:jc w:val="center"/>
      </w:pPr>
      <w:r>
        <w:rPr>
          <w:rFonts w:ascii="Times New Roman" w:hAnsi="Times New Roman" w:eastAsia="宋体"/>
          <w:b/>
          <w:i w:val="0"/>
          <w:sz w:val="30"/>
        </w:rPr>
        <w:t>Multimedia Appendix 1</w:t>
      </w:r>
    </w:p>
    <w:p>
      <w:pPr>
        <w:spacing w:before="80" w:after="80" w:lineRule="auto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All documents in this study were generated and evaluated in Chinese. The tables below are English translations; the original Chinese wording of the task prompts and the scoring rubric, as actually deployed, is available in the public repository (https://github.com/stttttte/iso15189-llm-config-experiment).</w:t>
      </w:r>
    </w:p>
    <w:p>
      <w:pPr>
        <w:spacing w:before="120" w:after="40" w:lineRule="auto" w:line="360"/>
        <w:ind w:firstLine="0"/>
        <w:jc w:val="center"/>
      </w:pPr>
      <w:r>
        <w:rPr>
          <w:rFonts w:ascii="Times New Roman" w:hAnsi="Times New Roman" w:eastAsia="宋体"/>
          <w:b/>
          <w:i w:val="0"/>
          <w:sz w:val="24"/>
        </w:rPr>
        <w:t>Table S1.</w:t>
      </w:r>
      <w:r>
        <w:rPr>
          <w:rFonts w:ascii="Times New Roman" w:hAnsi="Times New Roman" w:eastAsia="宋体"/>
          <w:b w:val="0"/>
          <w:i w:val="0"/>
          <w:sz w:val="24"/>
        </w:rPr>
        <w:t xml:space="preserve"> The 15 QMS authoring tasks used in this study. Each task was run under all 9 prompt configurations with 3 replicates (Claude Opus 4.6; 405 documents in total); the GPT-5.4 cross-model validation covered only the first task of each class (A1, B1, C1). The original user prompts are available in the GitHub repository under task_messages/.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Task ID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Task name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Class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Target length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Principal ISO 15189:2022 clause(s)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Draft a personnel-management procedure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2500-3500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6.2 Personnel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Draft an equipment-management procedure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3000-4000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6.4 Equipment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Draft a pre-examination SOP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2000-3000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7.2 Pre-examination processes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Revise the quality manual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800-1200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8.2–8.4 Document and record control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Revise a record form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500-800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6.4 Equipment (record form)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Generate an annual internal-audit checklist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checklist format, 30-50 check items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Spans Clauses 4–8 (whole system)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Generate a module-specific internal-audit checklist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checklist format, 15-25 check items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7.3 Examination processes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Pre-assessment self-inspection report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1500-2500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Spans Clauses 4–8 (45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Management-review input material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2000-3000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8.9 Management review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Post-review corrective action plan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2000-3000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8.6–8.7 Corrective action and nonconformities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Single-document review — procedure document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1500-2500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Spans Clauses 4–8 (15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Single-document review — SOP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1200-2000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Spans Clauses 4–8 (12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System-level review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1500-2500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Spans Clauses 4–8 (52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Audit-driven revision — document update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1500-2500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Spans Clauses 4–8 (12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Audit-driven revision — CAPA closure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2000-3500 characters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7.5.5 / 8.7 Nonconformity and CAPA closure</w:t>
            </w:r>
          </w:p>
        </w:tc>
      </w:tr>
    </w:tbl>
    <w:p/>
    <w:p>
      <w:pPr>
        <w:spacing w:before="80" w:after="80" w:lineRule="auto" w:line="36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The task set covers system-level documents concerned with document control, internal audit, pre-assessment self-inspection, and management review — including corrective action and CAPA closure (B5, C5) and system-wide reviews spanning dozens of clauses (B3, C3). It does not include technical documents such as method validation/verification reports, measurement-uncertainty procedures, critical-value reporting and clinical-communication records, or procedures for handling external quality assessment results (see Section 4.6, Limitation xviii).</w:t>
      </w:r>
    </w:p>
    <w:p>
      <w:pPr>
        <w:spacing w:before="120" w:after="40" w:lineRule="auto" w:line="360"/>
        <w:ind w:firstLine="0"/>
        <w:jc w:val="center"/>
      </w:pPr>
      <w:r>
        <w:rPr>
          <w:rFonts w:ascii="Times New Roman" w:hAnsi="Times New Roman" w:eastAsia="宋体"/>
          <w:b/>
          <w:i w:val="0"/>
          <w:sz w:val="24"/>
        </w:rPr>
        <w:t>Table S2. Five-dimensional descriptive rubric shared by Tiers 2a, 2b, and 3.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Dimension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Anchor at 5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Anchor at 3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Anchor at 1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Clause coverage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All "shall" requirements of the relevant clauses are operationalized through concrete measures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Major clauses are covered but with omissions or surface-level treatment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Most clauses are merely cited without implementation, or major omissions are evident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Operability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Every step has a named role (job title), a quantified deadline, and an explicit output (form ID)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Most steps are actionable; a few remain vague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Pervasive use of "in a timely manner", "relevant personnel", and "periodically" without operational detail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Internal consistency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All referenced documents and forms appear in the corresponding sections; responsibilities are cleanly assigned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 few dangling references or minor textual contradictions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Many dangling references or conflicting responsibility assignments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PDCA closure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 explicit Plan–Do–Check–Act chain with execution records, effectiveness evaluation, non-conformity handling, and improvement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P–D–C are present but A (improvement/feedback) is missing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Execution steps only; no checking or improvement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Professional depth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Contains laboratory-specific detail (e.g., Westgard rules, measurement uncertainty, Sigma metrics, HIL indices, blind testing, PCR zoning, cold chain)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Some professional flavor, but largely generic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Rule="auto" w:line="276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Generic content equally applicable to any laboratory</w:t>
            </w:r>
          </w:p>
        </w:tc>
      </w:tr>
    </w:tbl>
    <w:p/>
    <w:p>
      <w:pPr>
        <w:spacing w:before="40" w:after="120" w:lineRule="auto" w:line="24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This rubric was shared by Tier 2 (LLM judges) and Tier 3 (expert review). Anchor descriptions for scores of 5, 3, and 1 are given above; the intermediate scores 4 and 2 fall between adjacent anchors, and 0 means the dimension could not be evaluated. The anchor descriptions were identical for all judges and experts.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