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LLM-Generated Medical Laboratory QMS Documents: Claude Opus 4.6 vs. GPT-5.4 Across Prompting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ISO 15189:2022 compliance of LLM-generated QMS documents across prompting configurations and characterise LLM-as-judge biases.</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We generated 486 QMS documents using Claude Opus 4.6 (9 configurations × 15 tasks × 3 replicates = 405) and GPT-5.4 (81 for cross-model validation), spanning four prompt-content dimensions (rules, document skeleton, detailed content, worked examples; 0–56,000 tokens). Compliance was rated on a 0–5 Likert scale via three tiers: an automated rule-based scorer, dual LLM-as-judge review (864 ratings), and blinded review of 10 stratified-sampled documents by three qualified ISO 15189 internal auditors. Ablation effects used Mann–Whitney U with BH correction and bootstrap 95% CIs; inter-rater reliability used ICC variants.</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C_full (~56,000 tokens) scored 3.22–4.56 with Claude vs. 1.40–1.84 with GPT-5.4. Both LLM judges rated Claude-generated outputs ~0.30 points higher (Panickssery: +0.29 Claude, −0.30 GPT), concentrated at C_full and incompatible with classical self-preference. Expert inter-rater agreement was excellent [ICC(2,k) = 0.982]; Claude–expert agreement was moderate [ICC(3,1) = 0.548] and GPT–expert poor [ICC(3,1) = 0.217]; LLM judges overestimated experts by 0.52–0.90 points. The LLM-favoured H4_sop_only (~2,000 tokens) fell to fifth of seven under expert review (3.20),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Optimal configuration depends on evaluation tier: minimal prompts (~1,000–2,000 tokens) for exploratory drafts; template-anchored prompts (~15,000–16,000 tokens) for accreditation submission; C_full (~56,000 tokens) avoided with GPT-5.4. LLM-as-judge may support first-pass screening;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prompt configurations were designed by systematic substitution along four prompt-content dimensions—rules, document skeleton, detailed content, and worked examples—varied across operationally relevant levels: three levels (absent / partial / full) for rules and document skeleton, and binary (absent / present) for detailed content and worked examples (Figure 1). Two minimal configurations served as baselines: A_bare (0 tokens; no system prompt) and B_simple (~300 tokens; a brief task instruction containing six numbered constraints—language, file structure, standard citations, terminology, expression style, and numbering—coded as the partial level of the rules dimension). C_full (~56,000 tokens) represented the full-context input strategy, comprising the laboratory profile and the full set of SOPs concatenated into a single context block; because no standalone enforcement-oriented rule block was supplied, C_full was also coded as the partial level of the rules dimension. E_rules_v2 (~1,200 tokens) contained only the rules component; F_template (~15,000 tokens) contained the complete document template without rules; G_template_rules (~16,000 tokens) combined the rules component with the template; H2_keep_examples (~25,000 tokens) extended G_template_rules with worked examples; H3_skeleton (~5,000 tokens) preserved the module skeleton while removing detailed content; and H4_sop_only (~2,000 tokens) retained only the single SOP skeleton most relevant to the requested task. The letter D is intentionally skipped in the alphabetic sequence: an earlier D_rules variant was deprecated after expert validation identified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component was derived from a curated rules.md file (~1,200 tokens) and refined through domain-expert review. Three incorrect terminology mappings were removed (instrument → equipment; calibrator product → calibrator; inter-laboratory comparison → proficiency testing) and three target terms were corrected (specimen → sample; test item → measurand; linear range → reportable range); arrows denote the non-preferred → ISO 15189-preferred direction. The final rule set retained 10 verified terminology mappings and seven categories of prohibited vague expressions. The document skeleton was extracted from the institutional template library using a custom *strip_to_skeleton* algorithm, which preserved section headings, each section's introductory paragraph, and form-numbering schemes, while removing verbatim clause excerpts, detailed tabular content, worked examples, step-by-step procedures, and fenced code blocks (markdown ... constructs enclosing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were computed using the cl100k_base tokenizer (OpenAI tiktoken library); for mixed Chinese–English medical text, this tokenizer typically differs from the Anthropic-native tokenizer by ≤10% and was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1.</w:t>
      </w:r>
    </w:p>
    <w:p>
      <w:pPr>
        <w:spacing w:before="160" w:after="40" w:lineRule="auto" w:line="300"/>
        <w:jc w:val="left"/>
      </w:pPr>
      <w:r>
        <w:rPr>
          <w:rFonts w:ascii="Arial" w:hAnsi="Arial" w:eastAsia="黑体"/>
          <w:b/>
          <w:sz w:val="22"/>
        </w:rPr>
        <w:t>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format = 0.18, clause coverage = 0.22, and terminology = 0.13 — three of the seven weights defined in the WEIGHTS dictionary of auto_scorer.py. The remaining four entries of the dictionary (logical consistency = 0.18, operability = 0.10, safety compliance = 0.09, and manual-revision burden = 0.10; sum = 0.47) are vestigial entries from an earlier seven-dimension scoring plan that was superseded by the three-tier framework described in §2.3; they are not part of auto_weighted and therefore do not contribute to the Tier 1 ranking. The three implemented weights sum to 0.53, so auto_weighted has a theoretical range of [0, 2.65] on the 0–5 score scale. This sub-unit weight sum is a purely cosmetic feature of the scoring scale: rescaling every weight by 1/0.53 to renormalise to unit sum (≈ 0.34, 0.42, and 0.25 for format, clause coverage, and terminology, respectively) is a positive linear transformation of auto_weighted and therefore preserves both the per-configuration mean ordering and the min-max normalisation used to construct the composite ranking in §3.1 (Spearman ρ = 1.00 by construction). All Tier 1 rankings reported in §3 are consequently invariant to the choice between the original and the unit-sum weighting schemes.</w:t>
      </w:r>
    </w:p>
    <w:p>
      <w:pPr>
        <w:spacing w:before="160" w:after="40" w:lineRule="auto" w:line="300"/>
        <w:jc w:val="left"/>
      </w:pPr>
      <w:r>
        <w:rPr>
          <w:rFonts w:ascii="Arial" w:hAnsi="Arial" w:eastAsia="黑体"/>
          <w:b/>
          <w:sz w:val="22"/>
        </w:rPr>
        <w:t>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1)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1);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160" w:after="40" w:lineRule="auto" w:line="300"/>
        <w:jc w:val="left"/>
      </w:pPr>
      <w:r>
        <w:rPr>
          <w:rFonts w:ascii="Arial" w:hAnsi="Arial" w:eastAsia="黑体"/>
          <w:b/>
          <w:sz w:val="22"/>
        </w:rPr>
        <w:t>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1)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1)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160" w:after="40" w:lineRule="auto" w:line="300"/>
        <w:jc w:val="left"/>
      </w:pPr>
      <w:r>
        <w:rPr>
          <w:rFonts w:ascii="Arial" w:hAnsi="Arial" w:eastAsia="黑体"/>
          <w:b/>
          <w:sz w:val="22"/>
        </w:rPr>
        <w:t>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160" w:after="40" w:lineRule="auto" w:line="300"/>
        <w:jc w:val="left"/>
      </w:pPr>
      <w:r>
        <w:rPr>
          <w:rFonts w:ascii="Arial" w:hAnsi="Arial" w:eastAsia="黑体"/>
          <w:b/>
          <w:sz w:val="22"/>
        </w:rPr>
        <w:t>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160" w:after="40" w:lineRule="auto" w:line="300"/>
        <w:jc w:val="left"/>
      </w:pPr>
      <w:r>
        <w:rPr>
          <w:rFonts w:ascii="Arial" w:hAnsi="Arial" w:eastAsia="黑体"/>
          <w:b/>
          <w:sz w:val="22"/>
        </w:rPr>
        <w:t>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160" w:after="40" w:lineRule="auto" w:line="300"/>
        <w:jc w:val="left"/>
      </w:pPr>
      <w:r>
        <w:rPr>
          <w:rFonts w:ascii="Arial" w:hAnsi="Arial" w:eastAsia="黑体"/>
          <w:b/>
          <w:sz w:val="22"/>
        </w:rPr>
        <w:t>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160" w:after="40" w:lineRule="auto" w:line="300"/>
        <w:jc w:val="left"/>
      </w:pPr>
      <w:r>
        <w:rPr>
          <w:rFonts w:ascii="Arial" w:hAnsi="Arial" w:eastAsia="黑体"/>
          <w:b/>
          <w:sz w:val="22"/>
        </w:rPr>
        <w:t>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at only ~2,000 tokens — well below the template-anchored configurations (G_template_rules ~16,000; H2_keep_examples ~25,000) and the full-context C_full (~56,000); as reported in §3.5, however, this ranking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displays the 2 × 2 symmetric design—Claude-generated × Claude-judge, Claude-generated × GPT-judge, GPT-generated × Claude-judge, and GPT-generated × GPT-judge—evaluated on the 9 configurations across the three representative tasks (A1, B1, C1) with three replicates per cell. The full-context configuration C_full (~56,000 tokens) exhibited a sharp drop in evaluated compliance when generated by GPT-5.4: the GPT-generated × Claude-judge mean was 1.40 and the GPT-generated × GPT-judge mean was 1.84 on the 0–5 Likert scale, whereas the same C_full configuration generated by Claude Opus 4.6 yielded cross-evaluated mean scores in the range 3.22–4.56 across the two judges. This pattern indicates that the apparent usability of the ~56,000-token full-context configuration is specific to Claude Opus 4.6 and does not generalise to GPT-5.4 within the parameters tested. Qualitative inspection of the GPT-generated C_full outputs by the authors identified three recurrent failure modes: instruction-following degradation, in which early constraints stated in the system prompt were no longer reflected in later sections of the output; structural breakdown, manifesting as inconsistent section ordering, missing required headings, or numbering errors; and clause-citation confusion, including the use of incorrect, mismatched, or fabricated ISO 15189:2022 clause identifiers. These failure modes were not observed in the corresponding Claude Opus 4.6 outputs.</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 When C_full was excluded as the dominant outlier, the Claude-judge mean bias attenuated to −0.064 (median across the nine configurations: +0.200) and the GPT-judge mean bias attenuated to −0.167 (median: −0.311), indicating that the Panickssery indices reported above are disproportionately driven by C_full, where the long-context failure modes documented in §3.3 amplify cross-judge disagreement.</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1)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~15,000–25,000-token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However, as detailed in §3.4, this population-level average was strongly leveraged by the C_full configuration; when C_full is excluded, the Claude-judge mean bias attenuates to −0.064 and the GPT-judge mean bias to −0.167, indicating that the cross-judge directional pattern is concentrated at the long-context configuration rather than constituting a uniform property of the LLM-as-judge framework.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2).</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2.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Furthermore, the cross-judge bias estimates reported in §3.4 are strongly leveraged by the C_full configuration, which contributes the largest single-configuration value (+3.156) to the Claude-judge mean and −1.378 to the GPT-judge mean; future replication should therefore report per-configuration bias profiles separately to disentangle long-context-specific effects from configuration-independent judge preferences. All 10 sampled documents were Class A procedure documents (§2.3.3); cross-class generalisation to Class B (system operation) and Class C (audit simulation) tasks requires separate validation. Multi-centre validation with three to five raters scoring 30–50 documents per institution—including matched GPT-generated samples and Class B/C tasks—is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2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