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LLM-Generated Medical Laboratory QMS Documents: Claude Opus 4.6 vs. GPT-5.4 Across Prompting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ISO 15189:2022 compliance of LLM-generated QMS documents across prompting configurations and characterise LLM-as-judge biases.</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We generated 486 QMS documents using Claude Opus 4.6 (9 configurations × 15 tasks × 3 replicates = 405) and GPT-5.4 (81 for cross-model validation), spanning four prompt-content dimensions (rules, document skeleton, detailed content, worked examples; 0–56,000 tokens). Compliance was rated on a 0–5 Likert scale via three tiers: an automated rule-based scorer, dual LLM-as-judge review (864 ratings), and blinded review of 10 stratified-sampled documents by three qualified ISO 15189 internal auditors. Ablation effects used Mann–Whitney U with BH correction and bootstrap 95% CIs; inter-rater reliability used ICC variants.</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C_full (~56,000 tokens) scored 3.22–4.56 with Claude vs. 1.40–1.84 with GPT-5.4. Both LLM judges rated Claude-generated outputs ~0.30 points higher (Panickssery: +0.29 Claude, −0.30 GPT), concentrated at C_full and incompatible with classical self-preference. Expert inter-rater agreement was excellent [ICC(2,k) = 0.982]; Claude–expert agreement was moderate [ICC(3,1) = 0.548] and GPT–expert poor [ICC(3,1) = 0.217]; LLM judges overestimated experts by 0.52–0.90 points. The LLM-favoured H4_sop_only (~2,000 tokens) fell to fifth of seven under expert review (3.20),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Optimal configuration depends on evaluation tier: minimal prompts (~1,000–2,000 tokens) for exploratory drafts; template-anchored prompts (~15,000–16,000 tokens) for accreditation submission; C_full (~56,000 tokens) avoided with GPT-5.4. LLM-as-judge may support first-pass screening;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prompt configurations were designed by systematic substitution along four prompt-content dimensions—rules, document skeleton, detailed content, and worked examples—varied across operationally relevant levels: three levels (absent / partial / full) for rules and document skeleton, and binary (absent / present) for detailed content and worked examples (Figure 1). Two minimal configurations served as baselines: A_bare (0 tokens; no system prompt) and B_simple (~300 tokens; a brief task instruction containing six numbered constraints—language, file structure, standard citations, terminology, expression style, and numbering—coded as the partial level of the rules dimension). C_full (~56,000 tokens) represented the full-context input strategy, comprising the laboratory profile and the full set of SOPs concatenated into a single context block; because no standalone enforcement-oriented rule block was supplied, C_full was also coded as the partial level of the rules dimension. E_rules_v2 (~1,200 tokens) contained only the rules component; F_template (~15,000 tokens) contained the complete document template without rules; G_template_rules (~16,000 tokens) combined the rules component with the template; H2_keep_examples (~25,000 tokens) extended G_template_rules with worked examples; H3_skeleton (~5,000 tokens) preserved the module skeleton while removing detailed content; and H4_sop_only (~2,000 tokens) retained only the single SOP skeleton most relevant to the requested task. The letter D is intentionally skipped in the alphabetic sequence: an earlier D_rules variant was deprecated after expert validation identified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val="0"/>
          <w:sz w:val="22"/>
        </w:rPr>
        <w:t>The rules component was derived from a curated rules.md file (~1,200 tokens) and refined through domain-expert review. Three incorrect terminology mappings were removed (instrument → equipment; calibrator product → calibrator; inter-laboratory comparison → proficiency testing) and three target terms were corrected (specimen → sample; test item → measurand; linear range → reportable range); arrows denote the non-preferred → ISO 15189-preferred direction. The final rule set retained 10 verified terminology mappings and seven categories of prohibited vague expressions. The document skeleton was extracted from the institutional template library using a custom *strip_to_skeleton* algorithm, which preserved section headings, each section's introductory paragraph, and form-numbering schemes, while removing verbatim clause excerpts, detailed tabular content, worked examples, step-by-step procedures, and fenced code blocks (markdown ... constructs enclosing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were computed using the cl100k_base tokenizer (OpenAI tiktoken library); for mixed Chinese–English medical text, this tokenizer typically differs from the Anthropic-native tokenizer by ≤10% and was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1.</w:t>
      </w:r>
    </w:p>
    <w:p>
      <w:pPr>
        <w:spacing w:before="160" w:after="40" w:lineRule="auto" w:line="300"/>
        <w:jc w:val="left"/>
      </w:pPr>
      <w:r>
        <w:rPr>
          <w:rFonts w:ascii="Arial" w:hAnsi="Arial" w:eastAsia="黑体"/>
          <w:b/>
          <w:sz w:val="22"/>
        </w:rPr>
        <w:t>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 2.65] on the 0–5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160" w:after="40" w:lineRule="auto" w:line="300"/>
        <w:jc w:val="left"/>
      </w:pPr>
      <w:r>
        <w:rPr>
          <w:rFonts w:ascii="Arial" w:hAnsi="Arial" w:eastAsia="黑体"/>
          <w:b/>
          <w:sz w:val="22"/>
        </w:rPr>
        <w:t>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1)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1);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160" w:after="40" w:lineRule="auto" w:line="300"/>
        <w:jc w:val="left"/>
      </w:pPr>
      <w:r>
        <w:rPr>
          <w:rFonts w:ascii="Arial" w:hAnsi="Arial" w:eastAsia="黑体"/>
          <w:b/>
          <w:sz w:val="22"/>
        </w:rPr>
        <w:t>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1)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1)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160" w:after="40" w:lineRule="auto" w:line="300"/>
        <w:jc w:val="left"/>
      </w:pPr>
      <w:r>
        <w:rPr>
          <w:rFonts w:ascii="Arial" w:hAnsi="Arial" w:eastAsia="黑体"/>
          <w:b/>
          <w:sz w:val="22"/>
        </w:rPr>
        <w:t>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160" w:after="40" w:lineRule="auto" w:line="300"/>
        <w:jc w:val="left"/>
      </w:pPr>
      <w:r>
        <w:rPr>
          <w:rFonts w:ascii="Arial" w:hAnsi="Arial" w:eastAsia="黑体"/>
          <w:b/>
          <w:sz w:val="22"/>
        </w:rPr>
        <w:t>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160" w:after="40" w:lineRule="auto" w:line="300"/>
        <w:jc w:val="left"/>
      </w:pPr>
      <w:r>
        <w:rPr>
          <w:rFonts w:ascii="Arial" w:hAnsi="Arial" w:eastAsia="黑体"/>
          <w:b/>
          <w:sz w:val="22"/>
        </w:rPr>
        <w:t>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160" w:after="40" w:lineRule="auto" w:line="300"/>
        <w:jc w:val="left"/>
      </w:pPr>
      <w:r>
        <w:rPr>
          <w:rFonts w:ascii="Arial" w:hAnsi="Arial" w:eastAsia="黑体"/>
          <w:b/>
          <w:sz w:val="22"/>
        </w:rPr>
        <w:t>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160" w:after="40" w:lineRule="auto" w:line="300"/>
        <w:jc w:val="left"/>
      </w:pPr>
      <w:r>
        <w:rPr>
          <w:rFonts w:ascii="Arial" w:hAnsi="Arial" w:eastAsia="黑体"/>
          <w:b/>
          <w:sz w:val="22"/>
        </w:rPr>
        <w:t>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at only ~2,000 tokens — well below the template-anchored configurations (G_template_rules ~16,000; H2_keep_examples ~25,000) and the full-context C_full (~56,000); as reported in §3.5, however, this ranking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displays the 2 × 2 symmetric design—Claude-generated × Claude-judge, Claude-generated × GPT-judge, GPT-generated × Claude-judge, and GPT-generated × GPT-judge—evaluated on the 9 configurations across the three representative tasks (A1, B1, C1) with three replicates per cell. The full-context configuration C_full (~56,000 tokens) exhibited a sharp drop in evaluated compliance when generated by GPT-5.4: the GPT-generated × Claude-judge mean was 1.40 and the GPT-generated × GPT-judge mean was 1.84 on the 0–5 Likert scale, whereas the same C_full configuration generated by Claude Opus 4.6 yielded cross-evaluated mean scores in the range 3.22–4.56 across the two judges. This pattern indicates that the apparent usability of the ~56,000-token full-context configuration is specific to Claude Opus 4.6 and does not generalise to GPT-5.4 within the parameters tested. Qualitative inspection of the GPT-generated C_full outputs by the authors identified three recurrent failure modes: instruction-following degradation, in which early constraints stated in the system prompt were no longer reflected in later sections of the output; structural breakdown, manifesting as inconsistent section ordering, missing required headings, or numbering errors; and clause-citation confusion, including the use of incorrect, mismatched, or fabricated ISO 15189:2022 clause identifiers. These failure modes were not observed in the corresponding Claude Opus 4.6 outputs.</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 When C_full was excluded as the dominant outlier, the Claude-judge mean bias attenuated to −0.064 (median across the nine configurations: +0.200) and the GPT-judge mean bias attenuated to −0.167 (median: −0.311), indicating that the Panickssery indices reported above are disproportionately driven by C_full, where the long-context failure modes documented in §3.3 amplify cross-judge disagreement.</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1)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~15,000–25,000-token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However, as detailed in §3.4, this population-level average was strongly leveraged by the C_full configuration; when C_full is excluded, the Claude-judge mean bias attenuates to −0.064 and the GPT-judge mean bias to −0.167, indicating that the cross-judge directional pattern is concentrated at the long-context configuration rather than constituting a uniform property of the LLM-as-judge framework.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2).</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2.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Furthermore, the cross-judge bias estimates reported in §3.4 are strongly leveraged by the C_full configuration, which contributes the largest single-configuration value (+3.156) to the Claude-judge mean and −1.378 to the GPT-judge mean; future replication should therefore report per-configuration bias profiles separately to disentangle long-context-specific effects from configuration-independent judge preferences. All 10 sampled documents were Class A procedure documents (§2.3.3); cross-class generalisation to Class B (system operation) and Class C (audit simulation) tasks requires separate validation. Multi-centre validation with three to five raters scoring 30–50 documents per institution—including matched GPT-generated samples and Class B/C tasks—is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2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