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ISO 15189 Compliance of LLM-Generated Medical Laboratory QMS Documents: Claude Opus 4.6 vs. GPT-5.4 Across Prompting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Prompting strategies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To compare ISO 15189:2022 compliance of LLM-generated QMS documents across prompting configurations and characterise LLM-as-judge biases.</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We generated 486 QMS documents using Claude Opus 4.6 (9 configurations × 15 tasks × 3 replicates = 405) and GPT-5.4 (81 for cross-model validation), spanning four prompt-content dimensions (rules, document skeleton, detailed content, worked examples; 0–56,000 tokens). Compliance was rated on a 0–5 Likert scale via three tiers: an automated rule-based scorer, dual LLM-as-judge review (864 ratings), and blinded review of 10 stratified-sampled documents by three qualified ISO 15189 internal auditors. Ablation effects used Mann–Whitney U with BH correction and bootstrap 95% CIs; inter-rater reliability used ICC variants.</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At the LLM-judge tier, only the rules component produced a significant compliance gain (Δ = +0.511; BH-adjusted p &lt; 0.001). C_full (~56,000 tokens) scored 3.22–4.56 with Claude vs. 1.40–1.84 with GPT-5.4. Both LLM judges rated Claude-generated outputs ~0.30 points higher (Panickssery: +0.29 Claude, −0.30 GPT), concentrated at C_full and incompatible with classical self-preference. Expert inter-rater agreement was excellent [ICC(2,k) = 0.982]; Claude–expert agreement was moderate [ICC(3,1) = 0.548] and GPT–expert poor [ICC(3,1) = 0.217]; LLM judges overestimated experts by 0.52–0.90 points. The LLM-favoured H4_sop_only (~2,000 tokens) fell to fifth of seven under expert review (3.20), whereas template-anchored F_template, H2_keep_examples, and G_template_rules ranked highest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Optimal configuration depends on evaluation tier: minimal prompts (~1,000–2,000 tokens) for exploratory drafts; template-anchored prompts (~15,000–16,000 tokens) for accreditation submission; C_full (~56,000 tokens) avoided with GPT-5.4. LLM-as-judge may support first-pass screening; expert final review remains indispensable.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[7] is the international standard for medical laboratory accreditation, and its adoption by Chinese medical laboratories has continued to expand under the China National Accreditation Service for Conformity Assessment (CNAS) framework [14]. The corresponding national implementation document, CNAS-CL02:2023, was issued in parallel. Such standards prescribe what laboratories must achieve, not how to achieve it, requiring each laboratory to construct an independent quality management system (QMS) documentation set comprising a quality manual, procedure documents, and standard operating instructions. Based on the corresponding author's experience as an ISO 15189 internal auditor, such a system in a typical tertiary-level hospital clinical laboratory contains on the order of 100–300 controlled documents and spans structural organisation, clause-to-document mapping, form numbering, and responsibility assignment; manual drafting by an in-house quality team typically takes several months, followed by multiple rounds of internal audit before finalisation. Laboratories pursuing CNAS accreditation typically engage external technical experts or trainers to guide this process.</w:t>
      </w:r>
    </w:p>
    <w:p>
      <w:pPr>
        <w:spacing w:before="80" w:after="80" w:lineRule="auto" w:line="360"/>
        <w:ind w:firstLine="0"/>
        <w:jc w:val="both"/>
      </w:pPr>
      <w:r>
        <w:rPr>
          <w:rFonts w:ascii="Times New Roman" w:hAnsi="Times New Roman" w:eastAsia="宋体"/>
          <w:b w:val="0"/>
          <w:sz w:val="22"/>
        </w:rPr>
        <w:t>The advancement of large language models (LLMs) has raised the possibility of automating substantial portions of this workload. State-of-the-art models such as Claude Opus 4.6 and GPT-5.4 have demonstrated competence in long-document generation, structured output, and the use of domain-specific terminology [1, 2], and LLMs have been applied to scientific research [8] and medical question answering [9]. However, the optimal system-prompt design for producing compliant and operationally usable QMS documents has not been systematically investigated. Two contrasting approaches have emerged in practice: a full-context approach that loads all potentially relevant material—the ISO standard text, CNAS criteria, an existing document library, and worked examples—into the system prompt, often exceeding 50,000–100,000 tokens; and a minimal-prompt approach that supplies only rule constraints and section skeletons, relying on the model's internalised knowledge for content generation, with prompts limited to a few thousand tokens. Empirical evidence supporting either approach remains limited, as existing surveys of LLM behaviour and prompting [4, 12] have focused on general-purpose tasks and have not systematically compared specialised regulatory-document scenarios such as QMS authoring.</w:t>
      </w:r>
    </w:p>
    <w:p>
      <w:pPr>
        <w:spacing w:before="80" w:after="80" w:lineRule="auto" w:line="360"/>
        <w:ind w:firstLine="0"/>
        <w:jc w:val="both"/>
      </w:pPr>
      <w:r>
        <w:rPr>
          <w:rFonts w:ascii="Times New Roman" w:hAnsi="Times New Roman" w:eastAsia="宋体"/>
          <w:b w:val="0"/>
          <w:sz w:val="22"/>
        </w:rPr>
        <w:t>A second, more fundamental concern relates to the evaluation methodology itself. LLM-generated outputs are now most commonly assessed using the LLM-as-judge paradigm, in which a separate LLM serves as the rater [5]. Long-form text generation evaluation [10] and large-scale human-preference benchmarking [11] have emerged as the principal evaluation paradigms in this literature. Prior work has documented that LLM judges tend to exhibit a self-preference bias, favouring outputs produced by models within their own family [6]. However, whether and how this bias manifests in specialised regulatory domains such as medical laboratory QMS, and how it propagates into configuration-comparison conclusions, has not been empirically characterised.</w:t>
      </w:r>
    </w:p>
    <w:p>
      <w:pPr>
        <w:spacing w:before="80" w:after="80" w:lineRule="auto" w:line="360"/>
        <w:ind w:firstLine="0"/>
        <w:jc w:val="both"/>
      </w:pPr>
      <w:r>
        <w:rPr>
          <w:rFonts w:ascii="Times New Roman" w:hAnsi="Times New Roman" w:eastAsia="宋体"/>
          <w:b w:val="0"/>
          <w:sz w:val="22"/>
        </w:rPr>
        <w:t>To address these gaps, the present study generated 486 QMS documents, collected 864 LLM-judge ratings, and obtained 30 blinded expert ratings to investigate the following research questions: (i) Which components of a system-prompt configuration—rules, document skeleton, detailed content, or worked examples—contribute most to the compliance of LLM-generated QMS documents? (ii) What is the minimum effective token budget? (iii) Does the optimal configuration generalise across generation models (Claude Opus 4.6 vs GPT-5.4)? (iv) What is the magnitude of LLM-judge self-preference bias in this domain? (v) Across a multi-tier evaluation framework combining automated scoring, LLM judges, and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prompt configurations were designed by systematic substitution along four prompt-content dimensions—rules, document skeleton, detailed content, and worked examples—varied across operationally relevant levels: three levels (absent / partial / full) for rules and document skeleton, and binary (absent / present) for detailed content and worked examples (Figure 1). Two minimal configurations served as baselines: A_bare (0 tokens; no system prompt) and B_simple (~300 tokens; a brief task instruction containing six numbered constraints—language, file structure, standard citations, terminology, expression style, and numbering—coded as the partial level of the rules dimension). C_full (~56,000 tokens) represented the full-context input strategy, comprising the laboratory profile and the full set of SOPs concatenated into a single context block; because no standalone enforcement-oriented rule block was supplied, C_full was also coded as the partial level of the rules dimension. E_rules_v2 (~1,200 tokens) contained only the rules component; F_template (~15,000 tokens) contained the complete document template without rules; G_template_rules (~16,000 tokens) combined the rules component with the template; H2_keep_examples (~25,000 tokens) extended G_template_rules with worked examples; H3_skeleton (~5,000 tokens) preserved the module skeleton while removing detailed content; and H4_sop_only (~2,000 tokens) retained only the single SOP skeleton most relevant to the requested task. The letter D is intentionally skipped in the alphabetic sequence: an earlier D_rules variant was deprecated after expert validation identified terminology errors and was replaced by E_rules_v2; the gap is retained to preserve the chronological identifier scheme.</w:t>
      </w:r>
    </w:p>
    <w:p>
      <w:pPr>
        <w:spacing w:before="80" w:after="80" w:lineRule="auto" w:line="360"/>
        <w:ind w:firstLine="0"/>
        <w:jc w:val="both"/>
      </w:pPr>
      <w:r>
        <w:rPr>
          <w:rFonts w:ascii="Times New Roman" w:hAnsi="Times New Roman" w:eastAsia="宋体"/>
          <w:b w:val="0"/>
          <w:sz w:val="22"/>
        </w:rPr>
        <w:t>The rules component was derived from a curated rules.md file (~1,200 tokens) and refined through domain-expert review. Three incorrect terminology mappings were removed (instrument → equipment; calibrator product → calibrator; inter-laboratory comparison → proficiency testing) and three target terms were corrected (specimen → sample; test item → measurand; linear range → reportable range); arrows denote the non-preferred → ISO 15189-preferred direction. The final rule set retained 10 verified terminology mappings and seven categories of prohibited vague expressions. The document skeleton was extracted from the institutional template library using a custom *strip_to_skeleton* algorithm, which preserved section headings, each section's introductory paragraph, and form-numbering schemes, while removing verbatim clause excerpts, detailed tabular content, worked examples, step-by-step procedures, and fenced code blocks (markdown ... constructs enclosing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were computed using the cl100k_base tokenizer (OpenAI tiktoken library); for mixed Chinese–English medical text, this tokenizer typically differs from the Anthropic-native tokenizer by ≤10% and was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(v2.30.0)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1.</w:t>
      </w:r>
    </w:p>
    <w:p>
      <w:pPr>
        <w:spacing w:before="160" w:after="40" w:lineRule="auto" w:line="300"/>
        <w:jc w:val="left"/>
      </w:pPr>
      <w:r>
        <w:rPr>
          <w:rFonts w:ascii="Arial" w:hAnsi="Arial" w:eastAsia="黑体"/>
          <w:b/>
          <w:sz w:val="22"/>
        </w:rPr>
        <w:t>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format = 0.18, clause coverage = 0.22, and terminology = 0.13 — three of the seven weights defined in the WEIGHTS dictionary of auto_scorer.py. The remaining four entries of the dictionary (logical consistency = 0.18, operability = 0.10, safety compliance = 0.09, and manual-revision burden = 0.10; sum = 0.47) are vestigial entries from an earlier seven-dimension scoring plan that was superseded by the three-tier framework described in §2.3; they are not part of auto_weighted and therefore do not contribute to the Tier 1 ranking. The three implemented weights sum to 0.53, so auto_weighted has a theoretical range of [0, 2.65] on the 0–5 score scale. This sub-unit weight sum is a purely cosmetic feature of the scoring scale: rescaling every weight by 1/0.53 to renormalise to unit sum (≈ 0.34, 0.42, and 0.25 for format, clause coverage, and terminology, respectively) is a positive linear transformation of auto_weighted and therefore preserves both the per-configuration mean ordering and the min-max normalisation used to construct the composite ranking in §3.1 (Spearman ρ = 1.00 by construction). All Tier 1 rankings reported in §3 are consequently invariant to the choice between the original and the unit-sum weighting schemes.</w:t>
      </w:r>
    </w:p>
    <w:p>
      <w:pPr>
        <w:spacing w:before="160" w:after="40" w:lineRule="auto" w:line="300"/>
        <w:jc w:val="left"/>
      </w:pPr>
      <w:r>
        <w:rPr>
          <w:rFonts w:ascii="Arial" w:hAnsi="Arial" w:eastAsia="黑体"/>
          <w:b/>
          <w:sz w:val="22"/>
        </w:rPr>
        <w:t>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1) on a 0–5 scale. Generation parameters were temperature = 1.0 and max_tokens = 4,096; one rating was produced per document via a single API call. A total of 378 Claude-judge ratings were obtained, distributed as: 270 ratings covering the six core configurations (A_bare, B_simple, C_full, E_rules_v2,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exactly the same prompt, rubric, and 0–5 scale as Tier 2a, with identical generation parameters (temperature = 1.0, max_tokens = 4,096). All 486 generated documents were rated (405 Claude-generated + 81 GPT-generated), with one rating per document; per-document raw JSON files are fully retained and openly released. We verified that no judge output was truncated by the max_tokens cap: all 486 GPT-judge per-paper JSON files parsed successfully (zero parse errors), and the longest per-dimension reason string observed across both judges was 43 characters, well within the prompt-imposed 40-character soft cap and far below the 4,096-token output budget.</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1);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1.</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160" w:after="40" w:lineRule="auto" w:line="300"/>
        <w:jc w:val="left"/>
      </w:pPr>
      <w:r>
        <w:rPr>
          <w:rFonts w:ascii="Arial" w:hAnsi="Arial" w:eastAsia="黑体"/>
          <w:b/>
          <w:sz w:val="22"/>
        </w:rPr>
        <w:t>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1) as the LLM judges. Rater 1 was the first author, a qualified ISO 15189 internal auditor;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configurations × Class A procedure-document tasks (A1, A2, A3) — yielding a 21-stratum frame. The seven configurations selected at this tier (A_bare, C_full, E_rules_v2, F_template, G_template_rules, H2_keep_examples, H4_sop_only) differ from the six-configuration set used at Tier 2a (§2.3.2): B_simple was excluded from the expert sample as a redundant low-quality baseline next to A_bare, H3_skeleton was excluded as a near-duplicate of H4_sop_only at the per-stratum sample size, and H2_keep_examples and H4_sop_only were added as informative endpoints of the H series.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1)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"E_rules_v2",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160" w:after="40" w:lineRule="auto" w:line="300"/>
        <w:jc w:val="left"/>
      </w:pPr>
      <w:r>
        <w:rPr>
          <w:rFonts w:ascii="Arial" w:hAnsi="Arial" w:eastAsia="黑体"/>
          <w:b/>
          <w:sz w:val="22"/>
        </w:rPr>
        <w:t>2.4.1 Pairwise group comparisons and multiplicity correction</w:t>
      </w:r>
    </w:p>
    <w:p>
      <w:pPr>
        <w:spacing w:before="80" w:after="80" w:lineRule="auto" w:line="360"/>
        <w:ind w:firstLine="0"/>
        <w:jc w:val="both"/>
      </w:pPr>
      <w:r>
        <w:rPr>
          <w:rFonts w:ascii="Times New Roman" w:hAnsi="Times New Roman" w:eastAsia="宋体"/>
          <w:b w:val="0"/>
          <w:sz w:val="22"/>
        </w:rPr>
        <w:t>Pairwise between-configuration comparisons were performed using two-sided Mann–Whitney U tests (scipy.stats.mannwhitneyu, scipy v1.10.1) on per-document GPT-judge scores, with each configuration contributing n = 45 ratings (15 tasks × 3 replicates). Multiplicity within the four-component ablation was controlled by the Benjamini–Hochberg false-discovery-rate (FDR) procedure (statsmodels.stats.multitest.multipletests (statsmodels v0.14.6), method = fdr_bh; α = 0.05). FDR was preferred over Bonferroni correction because the four pre-specified contrasts share overlapping configurations (e.g., G_template_rules appears in both the *detailed content* and *worked examples* contrasts) and are therefore not statistically independent; under such structured testing, the Benjamini–Hochberg procedure provides a more powerful yet still rigorous control of the expected proportion of false discoveries. Bootstrap 95% confidence intervals for each Δ effect estimate were computed using the nonparametric percentile method with B = 10,000 resamples and a fixed seed (42), drawing each group's resamples independently with replacement (numpy random.choice); the lower and upper interval limits were taken as the 2.5th and 97.5th percentiles of the resampled Δ distribution. The bootstrap reference implementation is provided in bootstrap_ci.py of the released code repository.</w:t>
      </w:r>
    </w:p>
    <w:p>
      <w:pPr>
        <w:spacing w:before="160" w:after="40" w:lineRule="auto" w:line="300"/>
        <w:jc w:val="left"/>
      </w:pPr>
      <w:r>
        <w:rPr>
          <w:rFonts w:ascii="Arial" w:hAnsi="Arial" w:eastAsia="黑体"/>
          <w:b/>
          <w:sz w:val="22"/>
        </w:rPr>
        <w:t>2.4.2 Quantification of configuration-component effects</w:t>
      </w:r>
    </w:p>
    <w:p>
      <w:pPr>
        <w:spacing w:before="80" w:after="80" w:lineRule="auto" w:line="360"/>
        <w:ind w:firstLine="0"/>
        <w:jc w:val="both"/>
      </w:pPr>
      <w:r>
        <w:rPr>
          <w:rFonts w:ascii="Times New Roman" w:hAnsi="Times New Roman" w:eastAsia="宋体"/>
          <w:b w:val="0"/>
          <w:sz w:val="22"/>
        </w:rPr>
        <w:t>The four configuration-component effects were defined through targeted pairwise contrasts, each designed to isolate one dimension while holding the remaining three as constant as possible:</w:t>
      </w:r>
    </w:p>
    <w:p>
      <w:pPr>
        <w:pStyle w:val="ListBullet"/>
        <w:spacing w:before="40" w:after="40" w:lineRule="auto" w:line="360"/>
      </w:pPr>
      <w:r>
        <w:rPr>
          <w:rFonts w:ascii="Times New Roman" w:hAnsi="Times New Roman" w:eastAsia="宋体"/>
          <w:b w:val="0"/>
          <w:sz w:val="22"/>
        </w:rPr>
        <w:t>*rules*: E_rules_v2 vs A_bare</w:t>
      </w:r>
    </w:p>
    <w:p>
      <w:pPr>
        <w:pStyle w:val="ListBullet"/>
        <w:spacing w:before="40" w:after="40" w:lineRule="auto" w:line="360"/>
      </w:pPr>
      <w:r>
        <w:rPr>
          <w:rFonts w:ascii="Times New Roman" w:hAnsi="Times New Roman" w:eastAsia="宋体"/>
          <w:b w:val="0"/>
          <w:sz w:val="22"/>
        </w:rPr>
        <w:t>*document skeleton*: H4_sop_only vs E_rules_v2</w:t>
      </w:r>
    </w:p>
    <w:p>
      <w:pPr>
        <w:pStyle w:val="ListBullet"/>
        <w:spacing w:before="40" w:after="40" w:lineRule="auto" w:line="360"/>
      </w:pPr>
      <w:r>
        <w:rPr>
          <w:rFonts w:ascii="Times New Roman" w:hAnsi="Times New Roman" w:eastAsia="宋体"/>
          <w:b w:val="0"/>
          <w:sz w:val="22"/>
        </w:rPr>
        <w:t>*detailed content*: G_template_rules vs H3_skeleton</w:t>
      </w:r>
    </w:p>
    <w:p>
      <w:pPr>
        <w:pStyle w:val="ListBullet"/>
        <w:spacing w:before="40" w:after="40" w:lineRule="auto" w:line="360"/>
      </w:pPr>
      <w:r>
        <w:rPr>
          <w:rFonts w:ascii="Times New Roman" w:hAnsi="Times New Roman" w:eastAsia="宋体"/>
          <w:b w:val="0"/>
          <w:sz w:val="22"/>
        </w:rPr>
        <w:t>*worked examples*: H2_keep_examples vs G_template_rules</w:t>
      </w:r>
    </w:p>
    <w:p>
      <w:pPr>
        <w:spacing w:before="80" w:after="80" w:lineRule="auto" w:line="360"/>
        <w:ind w:firstLine="0"/>
        <w:jc w:val="both"/>
      </w:pPr>
      <w:r>
        <w:rPr>
          <w:rFonts w:ascii="Times New Roman" w:hAnsi="Times New Roman" w:eastAsia="宋体"/>
          <w:b w:val="0"/>
          <w:sz w:val="22"/>
        </w:rPr>
        <w:t>For each contrast, the effect size Δ was defined as a simple arithmetic mean difference, Δ = mean(group_B) − mean(group_A), where each group mean was the unweighted average of the 45 per-document GPT-judge scores in the corresponding configuration. No covariates, random effects, weighting, or shrinkage were applied. The same 45-per-configuration sample served as input to the Mann–Whitney U test reported alongside each Δ. L9 orthogonal-array decomposition, least-squares-means estimation, and mixed-effects modelling were not used, as the targeted-contrast scheme provides a more transparent and directly interpretable estimate for the substitution contrasts of interest.</w:t>
      </w:r>
    </w:p>
    <w:p>
      <w:pPr>
        <w:spacing w:before="160" w:after="40" w:lineRule="auto" w:line="300"/>
        <w:jc w:val="left"/>
      </w:pPr>
      <w:r>
        <w:rPr>
          <w:rFonts w:ascii="Arial" w:hAnsi="Arial" w:eastAsia="黑体"/>
          <w:b/>
          <w:sz w:val="22"/>
        </w:rPr>
        <w:t>2.4.3 Inter-rater agreement</w:t>
      </w:r>
    </w:p>
    <w:p>
      <w:pPr>
        <w:spacing w:before="80" w:after="80" w:lineRule="auto" w:line="360"/>
        <w:ind w:firstLine="0"/>
        <w:jc w:val="both"/>
      </w:pPr>
      <w:r>
        <w:rPr>
          <w:rFonts w:ascii="Times New Roman" w:hAnsi="Times New Roman" w:eastAsia="宋体"/>
          <w:b w:val="0"/>
          <w:sz w:val="22"/>
        </w:rPr>
        <w:t>Inter-rater agreement was characterised using three complementary measures, each reported in full because they capture distinct aspects of agreement: Pearson correlation captures linear association while tolerating systematic shifts between raters; Spearman correlation captures rank-order agreement without assuming linearity; and intraclass correlation coefficients (ICCs) quantify reliability under the standard framework of Shrout and Fleiss [13]. Four ICC variants were applied:</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single-rater absolute agreement, two-way random effects;</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single-rater consistency, two-way mixed effects;</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k-rater averaged absolute agreement;</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k-rater averaged consistency.</w:t>
      </w:r>
    </w:p>
    <w:p>
      <w:pPr>
        <w:spacing w:before="80" w:after="80" w:lineRule="auto" w:line="360"/>
        <w:ind w:firstLine="0"/>
        <w:jc w:val="both"/>
      </w:pPr>
      <w:r>
        <w:rPr>
          <w:rFonts w:ascii="Times New Roman" w:hAnsi="Times New Roman" w:eastAsia="宋体"/>
          <w:b w:val="0"/>
          <w:sz w:val="22"/>
        </w:rPr>
        <w:t>The single-rater variants ICC(2,1) and ICC(3,1) were used for pairwise comparisons (e.g., expert mean vs each LLM judge, and pairwise comparisons within the expert panel), whereas the k-rater averaged variants ICC(2,k) and ICC(3,k) (k = 3) were used to characterise the overall reliability of the three-expert panel. All ICCs were computed using the pingouin Python library (v0.6.1).</w:t>
      </w:r>
    </w:p>
    <w:p>
      <w:pPr>
        <w:spacing w:before="160" w:after="40" w:lineRule="auto" w:line="300"/>
        <w:jc w:val="left"/>
      </w:pPr>
      <w:r>
        <w:rPr>
          <w:rFonts w:ascii="Arial" w:hAnsi="Arial" w:eastAsia="黑体"/>
          <w:b/>
          <w:sz w:val="22"/>
        </w:rPr>
        <w:t>2.4.4 Self-preference bias</w:t>
      </w:r>
    </w:p>
    <w:p>
      <w:pPr>
        <w:spacing w:before="80" w:after="80" w:lineRule="auto" w:line="360"/>
        <w:ind w:firstLine="0"/>
        <w:jc w:val="both"/>
      </w:pPr>
      <w:r>
        <w:rPr>
          <w:rFonts w:ascii="Times New Roman" w:hAnsi="Times New Roman" w:eastAsia="宋体"/>
          <w:b w:val="0"/>
          <w:sz w:val="22"/>
        </w:rPr>
        <w:t>For each model M ∈ {Claude Opus 4.6, GPT-5.4} acting as judge, the self-preference bias was quantified following the classical convention of Panickssery et al. [6] — same judge, different generators:</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where M′ denotes the counterpart model. Positive values indicate that judge M rates outputs from its own generator family more favourably than outputs from the counterpart generator; negative values indicate the converse. As a sensitivity check, we additionally computed an alternative cross-judge formulation — same generator, different judges (bias_M = mean(judge = M, generator = M) − mean(judge = M′, generator = M)) — and obtained values of +0.464 (Claude) and −0.472 (GPT), preserving the sign and direction of the classical estimates (+0.294 and −0.301) reported in §3.4.</w:t>
      </w:r>
    </w:p>
    <w:p>
      <w:pPr>
        <w:spacing w:before="160" w:after="40" w:lineRule="auto" w:line="300"/>
        <w:jc w:val="left"/>
      </w:pPr>
      <w:r>
        <w:rPr>
          <w:rFonts w:ascii="Arial" w:hAnsi="Arial" w:eastAsia="黑体"/>
          <w:b/>
          <w:sz w:val="22"/>
        </w:rPr>
        <w:t>2.4.5 Note on the experimental design</w:t>
      </w:r>
    </w:p>
    <w:p>
      <w:pPr>
        <w:spacing w:before="80" w:after="80" w:lineRule="auto" w:line="360"/>
        <w:ind w:firstLine="0"/>
        <w:jc w:val="both"/>
      </w:pPr>
      <w:r>
        <w:rPr>
          <w:rFonts w:ascii="Times New Roman" w:hAnsi="Times New Roman" w:eastAsia="宋体"/>
          <w:b w:val="0"/>
          <w:sz w:val="22"/>
        </w:rPr>
        <w:t xml:space="preserve">The nine evaluated configurations do not constitute a Taguchi L9 orthogonal array. They were instead designed as a structured subset of the four-dimensional configuration space (rules, document skeleton, detailed content, worked examples), in which dimensions are varied across operationally relevant levels: </w:t>
      </w:r>
      <w:r>
        <w:rPr>
          <w:rFonts w:ascii="Times New Roman" w:hAnsi="Times New Roman" w:eastAsia="宋体"/>
          <w:b/>
          <w:sz w:val="22"/>
        </w:rPr>
        <w:t>three levels (absent / partial / full) for rules and document skeleton</w:t>
      </w:r>
      <w:r>
        <w:rPr>
          <w:rFonts w:ascii="Times New Roman" w:hAnsi="Times New Roman" w:eastAsia="宋体"/>
          <w:b w:val="0"/>
          <w:sz w:val="22"/>
        </w:rPr>
        <w:t xml:space="preserve">, and </w:t>
      </w:r>
      <w:r>
        <w:rPr>
          <w:rFonts w:ascii="Times New Roman" w:hAnsi="Times New Roman" w:eastAsia="宋体"/>
          <w:b/>
          <w:sz w:val="22"/>
        </w:rPr>
        <w:t>binary (absent / present) for detailed content and worked examples</w:t>
      </w:r>
      <w:r>
        <w:rPr>
          <w:rFonts w:ascii="Times New Roman" w:hAnsi="Times New Roman" w:eastAsia="宋体"/>
          <w:b w:val="0"/>
          <w:sz w:val="22"/>
        </w:rPr>
        <w:t>. Configurations were selected to isolate each dimension through the targeted pairwise contrasts described in §2.4.2 rather than to satisfy the balanced-orthogonality criteria of an L9 design. Δ effect estimates therefore correspond to the specific configuration pairs listed in §2.4.2 and are not reweighted to a balanced full-factorial reference.</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sz w:val="22"/>
        </w:rPr>
        <w:t>Across the 405 Claude Opus 4.6–generated documents, the nine configurations were ranked using a composite score that combined the Tier 1 automated scorer mean and the Tier 2 LLM-judge mean (averaged across the Claude and GPT judges); each component was min-max normalised to [0, 1] across the nine configurations and then averaged with equal weight. From highest to lowest composite score, the ranking was: H4_sop_only (~2,000 tokens; 0.994), H3_skeleton (~5,000 tokens; 0.869), G_template_rules (~16,000 tokens; 0.851), H2_keep_examples (~25,000 tokens; 0.759), E_rules_v2 (~1,200 tokens; 0.729), C_full (~56,000 tokens; 0.493), F_template (~15,000 tokens; 0.345), B_simple (~300 tokens; 0.227), and A_bare (0 tokens; 0.000). H4_sop_only therefore achieved the highest composite score at only ~2,000 tokens — well below the template-anchored configurations (G_template_rules ~16,000; H2_keep_examples ~25,000) and the full-context C_full (~56,000); as reported in §3.5, however, this ranking did not survive expert evaluation.</w:t>
      </w:r>
    </w:p>
    <w:p>
      <w:pPr>
        <w:spacing w:before="200" w:after="80" w:lineRule="auto" w:line="300"/>
        <w:jc w:val="left"/>
      </w:pPr>
      <w:r>
        <w:rPr>
          <w:rFonts w:ascii="Arial" w:hAnsi="Arial" w:eastAsia="黑体"/>
          <w:b/>
          <w:sz w:val="24"/>
        </w:rPr>
        <w:t>3.2 Four-component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raw p-values, Benjamini–Hochberg–adjusted p-values, and 95% bootstrap confidence intervals (B = 10,000 resamples; seed = 42). The rules component was the only factor reaching significance after correction (Δ = +0.511; 95% CI [+0.28, +0.75]; raw p &lt; 0.001; BH-adjusted p &lt; 0.001). The document-skeleton component (Δ = +0.213; 95% CI [+0.05, +0.39]; raw p = 0.055; BH-adjusted p = 0.11) showed a directionally positive effect; although the bootstrap CI excludes zero, the BH-adjusted p does not reach the 0.05 threshold. This discrepancy reflects that the CI was computed on the simple mean difference whereas inference used the rank-based Mann–Whitney U test; we therefore interpret the skeleton effect as suggestive evidence requiring independent replication. Detailed content (G_template_rules vs H3_skeleton: Δ = −0.031; 95% CI [−0.19, +0.12]; raw p = 0.79; BH-adjusted p = 0.79) and worked examples (H2_keep_examples vs G_template_rules: Δ = −0.053; 95% CI [−0.21, +0.11]; raw p = 0.46; BH-adjusted p = 0.61) showed no detectable contribution. As a descriptive supplementary contrast outside the four-component BH set, H4_sop_only and H3_skeleton did not differ (Δ = −0.009; raw p = 0.80; reported uncorrected), suggesting that, at the LLM-judge tier, the task-specific SOP skeleton (~2,000 tokens) and the full module skeleton (~5,000 tokens) are functionally equivalent. The ablation results reported in this section pertain to the LLM-judge tier (specifically the Tier 2b GPT-judge ratings, per §2.4.1); the corresponding expert-tier comparisons are presented in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displays the 2 × 2 symmetric design—Claude-generated × Claude-judge, Claude-generated × GPT-judge, GPT-generated × Claude-judge, and GPT-generated × GPT-judge—evaluated on the 9 configurations across the three representative tasks (A1, B1, C1) with three replicates per cell. The full-context configuration C_full (~56,000 tokens) exhibited a sharp drop in evaluated compliance when generated by GPT-5.4: the GPT-generated × Claude-judge mean was 1.40 and the GPT-generated × GPT-judge mean was 1.84 on the 0–5 Likert scale, whereas the same C_full configuration generated by Claude Opus 4.6 yielded cross-evaluated mean scores in the range 3.22–4.56 across the two judges. This pattern indicates that the apparent usability of the ~56,000-token full-context configuration is specific to Claude Opus 4.6 and does not generalise to GPT-5.4 within the parameters tested. Qualitative inspection of the GPT-generated C_full outputs by the authors identified three recurrent failure modes: instruction-following degradation, in which early constraints stated in the system prompt were no longer reflected in later sections of the output; structural breakdown, manifesting as inconsistent section ordering, missing required headings, or numbering errors; and clause-citation confusion, including the use of incorrect, mismatched, or fabricated ISO 15189:2022 clause identifiers. These failure modes were not observed in the corresponding Claude Opus 4.6 outputs.</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using the Panickssery classical formula defined in §2.4.4 (bias_M = mean(judge = M, generator = M) − mean(judge = M, generator = M′)), the mean bias of the Claude judge across the nine configurations was +0.294 on the 0–5 Likert scale (positive in 6 of 9 configurations; the largest single-configuration value, +3.156, occurred at C_full). The mean bias of the GPT judge was −0.301 (negative in 6 of 9 configurations, with positive values at A_bare and B_simple and zero at F_template). The two judges therefore agreed in direction: across configurations, both effectively rated Claude-generated outputs approximately 0.30 points higher than GPT-generated outputs, despite using nominally opposite-signed self-preference indices. When C_full was excluded as the dominant outlier, the Claude-judge mean bias attenuated to −0.064 (median across the nine configurations: +0.200) and the GPT-judge mean bias attenuated to −0.167 (median: −0.311), indicating that the Panickssery indices reported above are disproportionately driven by C_full, where the long-context failure modes documented in §3.3 amplify cross-judge disagreement.</w:t>
      </w:r>
    </w:p>
    <w:p>
      <w:pPr>
        <w:spacing w:before="80" w:after="80" w:lineRule="auto" w:line="360"/>
        <w:ind w:firstLine="0"/>
        <w:jc w:val="both"/>
      </w:pPr>
      <w:r>
        <w:rPr>
          <w:rFonts w:ascii="Times New Roman" w:hAnsi="Times New Roman" w:eastAsia="宋体"/>
          <w:b w:val="0"/>
          <w:sz w:val="22"/>
        </w:rPr>
        <w:t>By construction, this opposite-signed pattern is incompatible with the classical self-preference phenomenon, in which each judge would inflate ratings of its own family — a pattern that would produce same-signed positive biases for both judges. Instead, the observed pattern is compatible with two non-mutually-exclusive interpretations: (a) a genuine generation-level quality difference between Claude Opus 4.6 and GPT-5.4 under the parameters tested, consistent with the C_full failure modes documented in §3.3; and (b) systematic style or format preferences shared by both judges that favour the Claude-generated phrasing. Because the Tier 3 expert sample (n = 10) consisted entirely of Claude-generated documents (§2.3.3), the present study cannot empirically discriminate between these two interpretations; we identify this as a key direction for follow-up validation (§4.5, Limitation i).</w:t>
      </w:r>
    </w:p>
    <w:p>
      <w:pPr>
        <w:spacing w:before="80" w:after="80" w:lineRule="auto" w:line="360"/>
        <w:ind w:firstLine="0"/>
        <w:jc w:val="both"/>
      </w:pPr>
      <w:r>
        <w:rPr>
          <w:rFonts w:ascii="Times New Roman" w:hAnsi="Times New Roman" w:eastAsia="宋体"/>
          <w:b w:val="0"/>
          <w:sz w:val="22"/>
        </w:rPr>
        <w:t>To examine configuration ranking after removing same-judge self-evaluation, we re-ranked the nine configurations using only cross-model evaluations, retaining for each configuration the per-document Claude-judge → GPT-generated and GPT-judge → Claude-generated mean scores and averaging the two. Under this debiased ranking, the top four configurations on the 0–5 Likert scale were G_template_rules (4.211), H3_skeleton (4.167), E_rules_v2 (4.133), and H4_sop_only (4.100); their largest pairwise difference was Δ = 0.111, indicating that the four were statistically indistinguishable. C_full dropped from sixth in the §3.1 composite ranking to ninth (mean = 2.310), confirming that the high LLM-judge rating of C_full under Claude generation was substantially driven both by Claude-judge inflation of its family's output and by the inability of GPT-5.4 to produce usable output at the ~56,000-token configuration (§3.3).</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and ICC(3,k) = 0.981. The pairwise single-rater agreements were ICC(2,1) = 0.948 (R1 vs R2), 0.928 (R1 vs R3), and 0.969 (R2 vs R3) — all in the "excellent" range (&gt; 0.90 by the Cicchetti benchmark [15]). This level of agreement indicates that the five-dimensional rubric (Table 1) was highly reproducible across raters; however, because all three raters were affiliated with the same institution, the observed reliability may overestimate the agreement achievable across institutions (see §4.5, Limitation ii).</w:t>
      </w:r>
    </w:p>
    <w:p>
      <w:pPr>
        <w:spacing w:before="80" w:after="80" w:lineRule="auto" w:line="360"/>
        <w:ind w:firstLine="0"/>
        <w:jc w:val="both"/>
      </w:pPr>
      <w:r>
        <w:rPr>
          <w:rFonts w:ascii="Times New Roman" w:hAnsi="Times New Roman" w:eastAsia="宋体"/>
          <w:b w:val="0"/>
          <w:sz w:val="22"/>
        </w:rPr>
        <w:t>Agreement between the expert mean and the two LLM judges was substantially lower (Figure 3). The Claude judge yielded ICC(3,1) = 0.548 (p = 0.04), Pearson r = 0.573, and Spearman ρ = 0.509; the GPT judge yielded ICC(3,1) = 0.217 (p = 0.26) and Pearson r = 0.259. On the 0–5 Likert scale, both LLM judges systematically overestimated the expert-determined compliance scores: by 0.905 points for the Claude judge and by 0.525 points for the GPT judge (mean difference defined as expert − LLM judge, yielding values of −0.905 and −0.525, respectively). Claude–expert agreement was therefore at a moderate level, whereas GPT–expert agreement was poor.</w:t>
      </w:r>
    </w:p>
    <w:p>
      <w:pPr>
        <w:spacing w:before="80" w:after="80" w:lineRule="auto" w:line="360"/>
        <w:ind w:firstLine="0"/>
        <w:jc w:val="both"/>
      </w:pPr>
      <w:r>
        <w:rPr>
          <w:rFonts w:ascii="Times New Roman" w:hAnsi="Times New Roman" w:eastAsia="宋体"/>
          <w:b w:val="0"/>
          <w:sz w:val="22"/>
        </w:rPr>
        <w:t>When ranked by the expert mean across the seven sampled configurations (10 documents in total; per-stratum n = 1 or 2), the configurations ordered from highest to lowest were: F_template 4.24 (n = 1), H2_keep_examples 4.07 (n = 1), G_template_rules 4.06 (n = 2), C_full 3.45 (n = 2), H4_sop_only 3.20 (n = 2), E_rules_v2 3.19 (n = 1), and A_bare 3.04 (n = 1). The configuration ranked first at the LLM-judge tier — H4_sop_only (~2,000 tokens) — fell to fifth of seven (the third position from the bottom) under expert evaluation, only 0.16 points above the no-prompt baseline A_bare. The largest LLM-judge overestimation was observed for C_full and H4_sop_only (mean difference = expert − LLM-judges mean = −1.00 and −1.05, respectively), suggesting that although these two configurations achieve structural completeness and terminological compliance — the dimensions most readily captured by automated and LLM-based scoring — they lack the clinical-practice depth that is detectable only by expert reviewers. The three top-ranked configurations under expert evaluation (F_template, H2_keep_examples, G_template_rules) were all template-anchored configurations containing detailed content, indicating that the apparent token efficiency of skeleton-only configurations at the LLM-judge tier does not translate into expert-validated compliance. Given the small per-stratum sample (n = 1 or 2), these expert rankings should be treated as exploratory and warrant replication with a larger expert sample.</w:t>
      </w:r>
    </w:p>
    <w:p>
      <w:pPr>
        <w:spacing w:before="200" w:after="80" w:lineRule="auto" w:line="300"/>
        <w:jc w:val="left"/>
      </w:pPr>
      <w:r>
        <w:rPr>
          <w:rFonts w:ascii="Arial" w:hAnsi="Arial" w:eastAsia="黑体"/>
          <w:b/>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sz w:val="22"/>
        </w:rPr>
        <w:t>Figure 4 plots compliance scores against system-prompt token size for the three evaluators, all derived from the n = 10 expert-blinded subset (seven configurations; per-stratum n = 1 or 2). At the LLM-judge tier, the Claude-judge curve generally increased with token size, peaking at 4.90 at C_full (~56,000 tokens) with a small dip at H2_keep_examples; the GPT-judge curve peaked at G_template_rules (~16,000 tokens; 4.50) and was relatively flat (~4.0) at both ends of the token range, including C_full. At the expert tier, the curve peaked in the template region (F_template at ~15,000 tokens, expert mean = 4.24; G_template_rules at ~16,000 tokens, 4.06) and declined at both extremes, falling to ~3.20 at H4_sop_only (~2,000 tokens) and 3.45 at C_full (~56,000 tokens). The expert–LLM divergence followed a U-shaped pattern across the token axis: large at low-token configurations (gap ≈ 0.8–1.1 points at A_bare, E_rules_v2, and H4_sop_only) and again at the high-token extreme (gap ≈ 1.0 at C_full), but converging in the ~15,000–25,000-token template region (gap ≤ 0.6). Both LLM-judge curves placed the low-token region near or above the template region, whereas the expert curve placed the template region clearly above all other configurations. This pattern indicates that token-efficiency-oriented optimisation and clinical-usability-oriented optimisation correspond to two divergent optimisation objectives in the medical-laboratory QMS generation scenario; the Tier 2 LLM-judge perspective overestimates the quality of both short-prompt configurations and the C_full configuration relative to what the expert tier validates.</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minimisation holds at the LLM-judge tier but not at the expert tier</w:t>
      </w:r>
    </w:p>
    <w:p>
      <w:pPr>
        <w:spacing w:before="80" w:after="80" w:lineRule="auto" w:line="360"/>
        <w:ind w:firstLine="0"/>
        <w:jc w:val="both"/>
      </w:pPr>
      <w:r>
        <w:rPr>
          <w:rFonts w:ascii="Times New Roman" w:hAnsi="Times New Roman" w:eastAsia="宋体"/>
          <w:b w:val="0"/>
          <w:sz w:val="22"/>
        </w:rPr>
        <w:t>The four-component ablation supports a parsimonious account at the LLM-judge tier: the rules component was necessary (BH-adjusted p &lt; 0.001), the document-skeleton component contributed a directionally positive but non-significant effect (BH-adjusted p = 0.11), and neither detailed content nor worked examples produced detectable compliance gains (§3.2). This pattern aligns with the lost-in-the-middle phenomenon described by Liu et al. [3] — in which appending large volumes of contextual material to long prompts can dilute model attention and degrade output quality — and with prompt-engineering literature more broadly [12].</w:t>
      </w:r>
    </w:p>
    <w:p>
      <w:pPr>
        <w:spacing w:before="80" w:after="80" w:lineRule="auto" w:line="360"/>
        <w:ind w:firstLine="0"/>
        <w:jc w:val="both"/>
      </w:pPr>
      <w:r>
        <w:rPr>
          <w:rFonts w:ascii="Times New Roman" w:hAnsi="Times New Roman" w:eastAsia="宋体"/>
          <w:b w:val="0"/>
          <w:sz w:val="22"/>
        </w:rPr>
        <w:t>The expert-tier analysis qualifies this simplification (§3.5). Detailed content—the full document template embedded in F_template and G_template_rules—was associated with substantially higher expert-rated compliance than skeleton-only configurations: on the 0–5 Likert scale, F_template scored 4.24 (n = 1) and G_template_rules scored 4.06 (n = 2), compared with 3.20 (n = 2) for H4_sop_only, an apparent difference of approximately one point (these per-stratum samples are small and the comparison should therefore be interpreted as exploratory; see §3.5). A plausible explanation is that the model's internalised knowledge does not reliably cover the clinical-practice sub-scenarios required by ISO 15189:2022 and CNAS-CL02:2023—including, in our task set, emergency-sample handling, the acceptance of patient-self-collected specimens, qualification requirements for sample-courier personnel, and detailed criteria for sample rejection. When such sub-scenarios are not supplied explicitly through the system prompt, the model tends to default to generic procedural language that satisfies the structural and terminological criteria captured by automated and LLM-based scoring (§3.6) but lacks the operational depth that expert reviewers identify as the threshold for accreditation-grade documentation. Prompt minimisation is therefore appropriate when the goal is rapid drafting under LLM-only review, whereas template-anchored prompts are required when expert-validated compliance is the target.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While template anchoring improves expert-rated compliance (§4.1), even maximally extending the prompt can be counter-productive when the underlying model lacks reliable long-context handling. C_full (~56,000 tokens) represents an intuitively safe configuration: it includes all potentially relevant material and reflects the common heuristic that providing more context produces more reliable output. In our data this heuristic was not borne out across the two generation models. Whereas Claude Opus 4.6 generation under C_full produced cross-evaluated mean scores of 3.22–4.56 on the 0–5 Likert scale (§3.3), GPT-5.4 generation under the same configuration produced scores of only 1.40–1.84 (based on 9 documents covering 3 representative tasks × 3 replicates), accompanied by the three recurrent failure modes documented in §3.3—instruction-following degradation, structural breakdown, and clause-citation confusion. A plausible explanation, consistent with the lost-in-the-middle phenomenon described by Liu et al. [3] and with the long-context benchmarks reported in the model vendors' technical documentation [1, 2], is that Claude Opus 4.6 maintained more stable attention over long contexts in the relevant length regime, whereas GPT-5.4, within the parameters tested here, did not preserve coherent compliance with system-prompt constraints at this scale.</w:t>
      </w:r>
    </w:p>
    <w:p>
      <w:pPr>
        <w:spacing w:before="80" w:after="80" w:lineRule="auto" w:line="360"/>
        <w:ind w:firstLine="0"/>
        <w:jc w:val="both"/>
      </w:pPr>
      <w:r>
        <w:rPr>
          <w:rFonts w:ascii="Times New Roman" w:hAnsi="Times New Roman" w:eastAsia="宋体"/>
          <w:b w:val="0"/>
          <w:sz w:val="22"/>
        </w:rPr>
        <w:t>The methodological implication is that any claim of the form "configuration X is acceptable" requires validation across multiple generation models. Single-model evaluation entangles configuration effects with idiosyncratic model characteristics—including long-context handling, instruction-following stability, and the degree of overlap between the model's training distribution and the target regulatory domain—and therefore provides no basis for cross-model extrapolation. We accordingly caution against the operational deployment of long-context QMS prompts (e.g., those approaching or exceeding ~50,000 tokens) under any LLM until the configuration has been validated for that specific model and version, particularly because long-context behaviour can change substantially between model families and even between successive versions of a single family.</w:t>
      </w:r>
    </w:p>
    <w:p>
      <w:pPr>
        <w:spacing w:before="200" w:after="80" w:lineRule="auto" w:line="300"/>
        <w:jc w:val="left"/>
      </w:pPr>
      <w:r>
        <w:rPr>
          <w:rFonts w:ascii="Arial" w:hAnsi="Arial" w:eastAsia="黑体"/>
          <w:b/>
          <w:sz w:val="24"/>
        </w:rPr>
        <w:t>4.3 Bias profile and appropriate use of LLM-as-judge</w:t>
      </w:r>
    </w:p>
    <w:p>
      <w:pPr>
        <w:spacing w:before="80" w:after="80" w:lineRule="auto" w:line="360"/>
        <w:ind w:firstLine="0"/>
        <w:jc w:val="both"/>
      </w:pPr>
      <w:r>
        <w:rPr>
          <w:rFonts w:ascii="Times New Roman" w:hAnsi="Times New Roman" w:eastAsia="宋体"/>
          <w:b w:val="0"/>
          <w:sz w:val="22"/>
        </w:rPr>
        <w:t>The present study quantified two distinct categories of rating bias. The first is a cross-judge directional pattern: both LLM judges rated Claude-generated outputs approximately 0.30 points higher than GPT-generated outputs on the 0–5 Likert scale (Panickssery classical estimates: +0.29 for the Claude judge and −0.30 for the GPT judge; §3.4). However, as detailed in §3.4, this population-level average was strongly leveraged by the C_full configuration; when C_full is excluded, the Claude-judge mean bias attenuates to −0.064 and the GPT-judge mean bias to −0.167, indicating that the cross-judge directional pattern is concentrated at the long-context configuration rather than constituting a uniform property of the LLM-as-judge framework. This opposite-signed pattern is incompatible with classical same-family self-preference—which would predict same-signed positive biases for both judges—and is therefore attributable either to a genuine generation-quality gap between Claude Opus 4.6 and GPT-5.4 or to judge-side preferences for the Claude-generated stylistic register that are shared by both LLM judges. As noted in §4.2 and §4.5(i), the present design—in which expert evaluation was restricted to Claude-generated documents—cannot fully disambiguate these interpretations, although the GPT-specific failure modes documented in §3.3 (instruction-following degradation, structural breakdown, and clause-citation confusion) provide indirect support for a genuine quality contribution. The second category is a systematic LLM–expert offset: both LLM judges overestimated expert-determined compliance by 0.52–0.90 points on the same scale (§3.5).</w:t>
      </w:r>
    </w:p>
    <w:p>
      <w:pPr>
        <w:spacing w:before="80" w:after="80" w:lineRule="auto" w:line="360"/>
        <w:ind w:firstLine="0"/>
        <w:jc w:val="both"/>
      </w:pPr>
      <w:r>
        <w:rPr>
          <w:rFonts w:ascii="Times New Roman" w:hAnsi="Times New Roman" w:eastAsia="宋体"/>
          <w:b w:val="0"/>
          <w:sz w:val="22"/>
        </w:rPr>
        <w:t>Translating these biases into operational guidance, the Claude judge—whose ranking achieved moderate agreement with the three-expert mean [ICC(3,1) = 0.548, p = 0.04]—may serve as a coarse first-pass filter in large-scale generation pipelines, screening out clearly low-quality outputs before expert review. The GPT judge's poor expert agreement [ICC(3,1) = 0.217, p = 0.26] precludes its use as a proxy for expert assessment in this domain. For documents intended for accreditation submission, formal QMS adoption, or operational deployment, expert final review remains indispensable. The configuration-level operational implications of these biases are summarised in §4.4 (Table 2).</w:t>
      </w:r>
    </w:p>
    <w:p>
      <w:pPr>
        <w:spacing w:before="200" w:after="80" w:lineRule="auto" w:line="300"/>
        <w:jc w:val="left"/>
      </w:pPr>
      <w:r>
        <w:rPr>
          <w:rFonts w:ascii="Arial" w:hAnsi="Arial" w:eastAsia="黑体"/>
          <w:b/>
          <w:sz w:val="24"/>
        </w:rPr>
        <w:t>4.4 Configuration recommendations stratified by use scenario</w:t>
      </w:r>
    </w:p>
    <w:p>
      <w:pPr>
        <w:spacing w:before="80" w:after="80" w:lineRule="auto" w:line="360"/>
        <w:ind w:firstLine="0"/>
        <w:jc w:val="both"/>
      </w:pPr>
      <w:r>
        <w:rPr>
          <w:rFonts w:ascii="Times New Roman" w:hAnsi="Times New Roman" w:eastAsia="宋体"/>
          <w:b w:val="0"/>
          <w:sz w:val="22"/>
        </w:rPr>
        <w:t>Synthesising the evidence from the three evaluation tiers, we summarise configuration recommendations for the principal QMS-generation use scenarios in Table 2. The recommendations reflect the key trade-off identified in §3.5 and §3.6: configurations that score highest at the LLM-judge tier (H4_sop_only, E_rules_v2) are the most token-efficient but lack the clinical-practice depth required for accreditation-grade documentation, whereas template-anchored configurations (F_template, G_template_rules) are penalised at the LLM-judge tier yet produce the highest expert-rated compliance.</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Configuration recommendations stratified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expert-rated compliance;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GPT-5.4 generation; lowest cross-evaluation rank under debiasing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Insufficient prompt anchoring;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A practical end-to-end workflow emerging from these data is to: (i) generate a rapid first draft using H4_sop_only; (ii) supplement clinical-practice detail through manual review or targeted re-prompting; and (iii) regenerate or refine the final accreditation-grade document using G_template_rules.</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w:t>
      </w:r>
    </w:p>
    <w:p>
      <w:pPr>
        <w:spacing w:before="80" w:after="80" w:lineRule="auto" w:line="360"/>
        <w:ind w:firstLine="0"/>
        <w:jc w:val="both"/>
      </w:pPr>
      <w:r>
        <w:rPr>
          <w:rFonts w:ascii="Times New Roman" w:hAnsi="Times New Roman" w:eastAsia="宋体"/>
          <w:b/>
          <w:sz w:val="22"/>
        </w:rPr>
        <w:t>(i) Limited expert sample, restricted to Claude-generated documents.</w:t>
      </w:r>
      <w:r>
        <w:rPr>
          <w:rFonts w:ascii="Times New Roman" w:hAnsi="Times New Roman" w:eastAsia="宋体"/>
          <w:b w:val="0"/>
          <w:sz w:val="22"/>
        </w:rPr>
        <w:t xml:space="preserve"> The expert tier comprised three raters scoring 10 documents (per-stratum n = 1 or 2; see §3.5), all drawn from the Claude-generation pool; no GPT-generated documents underwent expert evaluation. The present design therefore supports only directional ranking conclusions for Claude-generated documents and does not permit strict statistical inference. Consequently, the §3.4 ambiguity between (a) a genuine generation-quality gap between Claude Opus 4.6 and GPT-5.4 and (b) shared judge-side stylistic preferences cannot be resolved within the present sample. Furthermore, the cross-judge bias estimates reported in §3.4 are strongly leveraged by the C_full configuration, which contributes the largest single-configuration value (+3.156) to the Claude-judge mean and −1.378 to the GPT-judge mean; future replication should therefore report per-configuration bias profiles separately to disentangle long-context-specific effects from configuration-independent judge preferences. All 10 sampled documents were Class A procedure documents (§2.3.3); cross-class generalisation to Class B (system operation) and Class C (audit simulation) tasks requires separate validation. Multi-centre validation with three to five raters scoring 30–50 documents per institution—including matched GPT-generated samples and Class B/C tasks—is a key direction for future work.</w:t>
      </w:r>
    </w:p>
    <w:p>
      <w:pPr>
        <w:spacing w:before="80" w:after="80" w:lineRule="auto" w:line="360"/>
        <w:ind w:firstLine="0"/>
        <w:jc w:val="both"/>
      </w:pPr>
      <w:r>
        <w:rPr>
          <w:rFonts w:ascii="Times New Roman" w:hAnsi="Times New Roman" w:eastAsia="宋体"/>
          <w:b/>
          <w:sz w:val="22"/>
        </w:rPr>
        <w:t>(ii) Same-institution agreement may overestimate generalisability.</w:t>
      </w:r>
      <w:r>
        <w:rPr>
          <w:rFonts w:ascii="Times New Roman" w:hAnsi="Times New Roman" w:eastAsia="宋体"/>
          <w:b w:val="0"/>
          <w:sz w:val="22"/>
        </w:rPr>
        <w:t xml:space="preserve"> The very high agreement among the three experts [ICC(2,k) = 0.982] both supports the validity of the five-dimensional rubric and likely reflects shared professional culture, training lineage, and clause-interpretation habits within a single institution. The observed reliability may therefore overestimate cross-institution generalisability.</w:t>
      </w:r>
    </w:p>
    <w:p>
      <w:pPr>
        <w:spacing w:before="80" w:after="80" w:lineRule="auto" w:line="360"/>
        <w:ind w:firstLine="0"/>
        <w:jc w:val="both"/>
      </w:pPr>
      <w:r>
        <w:rPr>
          <w:rFonts w:ascii="Times New Roman" w:hAnsi="Times New Roman" w:eastAsia="宋体"/>
          <w:b/>
          <w:sz w:val="22"/>
        </w:rPr>
        <w:t>(iii) Dual role of the first author.</w:t>
      </w:r>
      <w:r>
        <w:rPr>
          <w:rFonts w:ascii="Times New Roman" w:hAnsi="Times New Roman" w:eastAsia="宋体"/>
          <w:b w:val="0"/>
          <w:sz w:val="22"/>
        </w:rPr>
        <w:t xml:space="preserve"> The first author served both as Rater 1 and as study designer. To mitigate self-influence, Raters 2 and 3 completed their scoring without access to Rater 1's prior ratings, and the per-rater data are openly released for independent audit.</w:t>
      </w:r>
    </w:p>
    <w:p>
      <w:pPr>
        <w:spacing w:before="80" w:after="80" w:lineRule="auto" w:line="360"/>
        <w:ind w:firstLine="0"/>
        <w:jc w:val="both"/>
      </w:pPr>
      <w:r>
        <w:rPr>
          <w:rFonts w:ascii="Times New Roman" w:hAnsi="Times New Roman" w:eastAsia="宋体"/>
          <w:b/>
          <w:sz w:val="22"/>
        </w:rPr>
        <w:t>(iv) Shared rubric between expert and LLM tiers.</w:t>
      </w:r>
      <w:r>
        <w:rPr>
          <w:rFonts w:ascii="Times New Roman" w:hAnsi="Times New Roman" w:eastAsia="宋体"/>
          <w:b w:val="0"/>
          <w:sz w:val="22"/>
        </w:rPr>
        <w:t xml:space="preserve"> The five-dimensional rubric was applied identically by LLM judges and expert raters, introducing a risk of shared-measurement bias. Future work should incorporate expert-native dimensions—such as operational implementability under departmental workflow constraints—that LLM judges are unlikely to have internalised from training data.</w:t>
      </w:r>
    </w:p>
    <w:p>
      <w:pPr>
        <w:spacing w:before="80" w:after="80" w:lineRule="auto" w:line="360"/>
        <w:ind w:firstLine="0"/>
        <w:jc w:val="both"/>
      </w:pPr>
      <w:r>
        <w:rPr>
          <w:rFonts w:ascii="Times New Roman" w:hAnsi="Times New Roman" w:eastAsia="宋体"/>
          <w:b/>
          <w:sz w:val="22"/>
        </w:rPr>
        <w:t>(v) Limited GPT-5.4 task coverage.</w:t>
      </w:r>
      <w:r>
        <w:rPr>
          <w:rFonts w:ascii="Times New Roman" w:hAnsi="Times New Roman" w:eastAsia="宋体"/>
          <w:b w:val="0"/>
          <w:sz w:val="22"/>
        </w:rPr>
        <w:t xml:space="preserve"> Only the A1, B1, and C1 tasks were generated by GPT-5.4 (81 documents), restricting cross-model conclusions to a three-task subset.</w:t>
      </w:r>
    </w:p>
    <w:p>
      <w:pPr>
        <w:spacing w:before="80" w:after="80" w:lineRule="auto" w:line="360"/>
        <w:ind w:firstLine="0"/>
        <w:jc w:val="both"/>
      </w:pPr>
      <w:r>
        <w:rPr>
          <w:rFonts w:ascii="Times New Roman" w:hAnsi="Times New Roman" w:eastAsia="宋体"/>
          <w:b/>
          <w:sz w:val="22"/>
        </w:rPr>
        <w:t>(vi) Domain specificity.</w:t>
      </w:r>
      <w:r>
        <w:rPr>
          <w:rFonts w:ascii="Times New Roman" w:hAnsi="Times New Roman" w:eastAsia="宋体"/>
          <w:b w:val="0"/>
          <w:sz w:val="22"/>
        </w:rPr>
        <w:t xml:space="preserve"> The findings are restricted to ISO 15189 medical-laboratory QMS documents; transferability to adjacent regulatory frameworks (e.g., ISO 17025 for testing and calibration laboratories, or ISO 9001 for general quality management) requires separate validation.</w:t>
      </w:r>
    </w:p>
    <w:p>
      <w:pPr>
        <w:spacing w:before="80" w:after="80" w:lineRule="auto" w:line="360"/>
        <w:ind w:firstLine="0"/>
        <w:jc w:val="both"/>
      </w:pPr>
      <w:r>
        <w:rPr>
          <w:rFonts w:ascii="Times New Roman" w:hAnsi="Times New Roman" w:eastAsia="宋体"/>
          <w:b/>
          <w:sz w:val="22"/>
        </w:rPr>
        <w:t>(vii) Restricted set of LLM judges.</w:t>
      </w:r>
      <w:r>
        <w:rPr>
          <w:rFonts w:ascii="Times New Roman" w:hAnsi="Times New Roman" w:eastAsia="宋体"/>
          <w:b w:val="0"/>
          <w:sz w:val="22"/>
        </w:rPr>
        <w:t xml:space="preserve"> Only Claude Opus 4.6 and GPT-5.4 served as judges; whether the observed cross-judge directional bias and expert-overestimation pattern generalise to additional model families (e.g., Gemini, open-weight models) is unknown.</w:t>
      </w:r>
    </w:p>
    <w:p>
      <w:pPr>
        <w:spacing w:before="80" w:after="80" w:lineRule="auto" w:line="360"/>
        <w:ind w:firstLine="0"/>
        <w:jc w:val="both"/>
      </w:pPr>
      <w:r>
        <w:rPr>
          <w:rFonts w:ascii="Times New Roman" w:hAnsi="Times New Roman" w:eastAsia="宋体"/>
          <w:b/>
          <w:sz w:val="22"/>
        </w:rPr>
        <w:t>(viii) Single-language scope.</w:t>
      </w:r>
      <w:r>
        <w:rPr>
          <w:rFonts w:ascii="Times New Roman" w:hAnsi="Times New Roman" w:eastAsia="宋体"/>
          <w:b w:val="0"/>
          <w:sz w:val="22"/>
        </w:rPr>
        <w:t xml:space="preserve"> All QMS documents were generated and evaluated in Chinese; the configuration effects and bias profiles in English or other languages have not been verified.</w:t>
      </w:r>
    </w:p>
    <w:p>
      <w:pPr>
        <w:spacing w:before="80" w:after="80" w:lineRule="auto" w:line="360"/>
        <w:ind w:firstLine="0"/>
        <w:jc w:val="both"/>
      </w:pPr>
      <w:r>
        <w:rPr>
          <w:rFonts w:ascii="Times New Roman" w:hAnsi="Times New Roman" w:eastAsia="宋体"/>
          <w:b/>
          <w:sz w:val="22"/>
        </w:rPr>
        <w:t>(ix) Model temporality.</w:t>
      </w:r>
      <w:r>
        <w:rPr>
          <w:rFonts w:ascii="Times New Roman" w:hAnsi="Times New Roman" w:eastAsia="宋体"/>
          <w:b w:val="0"/>
          <w:sz w:val="22"/>
        </w:rPr>
        <w:t xml:space="preserve"> The conclusions reflect the specific model versions and parameters tested between 2 April 2026 and 14 April 2026; continued LLM iteration may require periodic re-validation.</w:t>
      </w:r>
    </w:p>
    <w:p>
      <w:pPr>
        <w:spacing w:before="80" w:after="80" w:lineRule="auto" w:line="360"/>
        <w:ind w:firstLine="0"/>
        <w:jc w:val="both"/>
      </w:pPr>
      <w:r>
        <w:rPr>
          <w:rFonts w:ascii="Times New Roman" w:hAnsi="Times New Roman" w:eastAsia="宋体"/>
          <w:b/>
          <w:sz w:val="22"/>
        </w:rPr>
        <w:t>(x) Asymmetric raw-data retention for cross-judge cells.</w:t>
      </w:r>
      <w:r>
        <w:rPr>
          <w:rFonts w:ascii="Times New Roman" w:hAnsi="Times New Roman" w:eastAsia="宋体"/>
          <w:b w:val="0"/>
          <w:sz w:val="22"/>
        </w:rPr>
        <w:t xml:space="preserve"> Per-document raw scores for the Claude-judge × GPT-generated quadrant and for the Claude-judge × H-group × Claude-generated subset were archived only as aggregated means; the per-document JSON files were not retained. The full 2 × 2 self-preference matrix therefore cannot be independently recomputed at the per-document level, although per-document raw Claude-judge ratings for the six core configurations (A/B/C/E/F/G; 270 ratings) and all 486 GPT-judge per-document ratings are openly released.</w:t>
      </w:r>
    </w:p>
    <w:p>
      <w:pPr>
        <w:spacing w:before="80" w:after="80" w:lineRule="auto" w:line="360"/>
        <w:ind w:firstLine="0"/>
        <w:jc w:val="both"/>
      </w:pPr>
      <w:r>
        <w:rPr>
          <w:rFonts w:ascii="Times New Roman" w:hAnsi="Times New Roman" w:eastAsia="宋体"/>
          <w:b/>
          <w:sz w:val="22"/>
        </w:rPr>
        <w:t>(xi) Intra-judge reliability not assessed.</w:t>
      </w:r>
      <w:r>
        <w:rPr>
          <w:rFonts w:ascii="Times New Roman" w:hAnsi="Times New Roman" w:eastAsia="宋体"/>
          <w:b w:val="0"/>
          <w:sz w:val="22"/>
        </w:rPr>
        <w:t xml:space="preserve"> Each LLM judge scored each document exactly once; judges were not asked to re-score documents for the quantification of intra-judge variance. Inter-judge reliability was captured indirectly via the 2 × 2 cross-comparison between the Claude and GPT judges and via the three-expert ICC analysis.</w:t>
      </w:r>
    </w:p>
    <w:p>
      <w:pPr>
        <w:spacing w:before="80" w:after="80" w:lineRule="auto" w:line="360"/>
        <w:ind w:firstLine="0"/>
        <w:jc w:val="both"/>
      </w:pPr>
      <w:r>
        <w:rPr>
          <w:rFonts w:ascii="Times New Roman" w:hAnsi="Times New Roman" w:eastAsia="宋体"/>
          <w:b/>
          <w:sz w:val="22"/>
        </w:rPr>
        <w:t>(xii) No pre-scoring expert calibration session.</w:t>
      </w:r>
      <w:r>
        <w:rPr>
          <w:rFonts w:ascii="Times New Roman" w:hAnsi="Times New Roman" w:eastAsia="宋体"/>
          <w:b w:val="0"/>
          <w:sz w:val="22"/>
        </w:rPr>
        <w:t xml:space="preserve"> The three raters scored independently from the published rubric and the ISO 15189:2022 / CNAS-CL02:2023 standards, without a prior calibration session in which a small number of example documents would be jointly scored to align interpretation. The very high inter-rater agreement indicates that the rubric was sufficiently self-explanatory in the present institutional context, but a formal calibration step is recommended for replication in multi-centre studies.</w:t>
      </w:r>
    </w:p>
    <w:p>
      <w:pPr>
        <w:spacing w:before="80" w:after="80" w:lineRule="auto" w:line="360"/>
        <w:ind w:firstLine="0"/>
        <w:jc w:val="both"/>
      </w:pPr>
      <w:r>
        <w:rPr>
          <w:rFonts w:ascii="Times New Roman" w:hAnsi="Times New Roman" w:eastAsia="宋体"/>
          <w:b/>
          <w:sz w:val="22"/>
        </w:rPr>
        <w:t>(xiii) Claude Code Agent wrapper.</w:t>
      </w:r>
      <w:r>
        <w:rPr>
          <w:rFonts w:ascii="Times New Roman" w:hAnsi="Times New Roman" w:eastAsia="宋体"/>
          <w:b w:val="0"/>
          <w:sz w:val="22"/>
        </w:rPr>
        <w:t xml:space="preserve"> Claude Opus 4.6 generation and Claude-judge ratings were performed via the Claude Code Agent interface rather than through a direct Anthropic SDK call. The Claude Code framework appends a constant framework-level system prompt (tool definitions and file-system guidance) to each user-supplied prompt; the absolute prompt length seen by the model is therefore larger than the per-configuration token counts reported in §2.1. Because this framework overhead is identical across all 9 configurations and across all judging calls, between-configuration relative comparisons and judge–expert agreement findings are unaffected, but exact reproduction of absolute scores requires the same Claude Code version. Re-running the same configurations through a direct Anthropic SDK call may yield slightly different absolute scores.</w:t>
      </w:r>
    </w:p>
    <w:p>
      <w:pPr>
        <w:spacing w:before="80" w:after="80" w:lineRule="auto" w:line="360"/>
        <w:ind w:firstLine="0"/>
        <w:jc w:val="both"/>
      </w:pPr>
      <w:r>
        <w:rPr>
          <w:rFonts w:ascii="Times New Roman" w:hAnsi="Times New Roman" w:eastAsia="宋体"/>
          <w:b/>
          <w:sz w:val="22"/>
        </w:rPr>
        <w:t>(xiv) AIHubMix routing not independently audited.</w:t>
      </w:r>
      <w:r>
        <w:rPr>
          <w:rFonts w:ascii="Times New Roman" w:hAnsi="Times New Roman" w:eastAsia="宋体"/>
          <w:b w:val="0"/>
          <w:sz w:val="22"/>
        </w:rPr>
        <w:t xml:space="preserve"> GPT-5.4 was accessed via the AIHubMix proxy, which advertises transparent forwarding to the upstream OpenAI API. We did not independently verify response equivalence against direct OpenAI calls; subtle routing-level differences (request batching, header handling, regional routing) cannot be ruled out, although the GPT-5.4 model identifier was preserved end-to-end.</w:t>
      </w:r>
    </w:p>
    <w:p>
      <w:pPr>
        <w:spacing w:before="80" w:after="80" w:lineRule="auto" w:line="360"/>
        <w:ind w:firstLine="0"/>
        <w:jc w:val="both"/>
      </w:pPr>
      <w:r>
        <w:rPr>
          <w:rFonts w:ascii="Times New Roman" w:hAnsi="Times New Roman" w:eastAsia="宋体"/>
          <w:b/>
          <w:sz w:val="22"/>
        </w:rPr>
        <w:t>(xv) Temperature setting.</w:t>
      </w:r>
      <w:r>
        <w:rPr>
          <w:rFonts w:ascii="Times New Roman" w:hAnsi="Times New Roman" w:eastAsia="宋体"/>
          <w:b w:val="0"/>
          <w:sz w:val="22"/>
        </w:rPr>
        <w:t xml:space="preserve"> All generations used temperature = 1.0 to reflect realistic interactive use. This introduces stochastic variance (mitigated by three replicates per cell) at the cost of strict bit-level reproducibility; future studies seeking deterministic comparison should re-run at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prompt configuration for LLM-assisted ISO 15189 QMS document generation depends on the evaluation tier. At the LLM-judge tier, H4_sop_only (~2,000 tokens) achieved the highest composite score; under expert evaluation, however, the three highest-rated configurations were the template-anchored F_template (~15,000 tokens), H2_keep_examples (~25,000 tokens), and G_template_rules (~16,000 tokens) (mean = 4.06–4.24 on the 0–5 Likert scale), whereas H4_sop_only fell to fifth of seven configurations, only 0.16 points above the no-prompt baseline A_bare. Minimal-prompt configurations (H4_sop_only or E_rules_v2; ~1,000–2,000 tokens) are therefore appropriate for exploratory drafts that will undergo subsequent expert review, whereas template-anchored configurations (G_template_rules or F_template; ~15,000–16,000 tokens) are required for documents intended for CNAS or equivalent ISO 15189 accreditation submission. C_full (~56,000 tokens) should be avoided in the present setting, particularly when generation is performed by GPT-5.4, given the long-context failure modes documented in §3.3. LLM-as-judge methods may serve as a first-pass screening tool: the Claude judge showed moderate agreement with experts [ICC(3,1) = 0.548] and may be used as a cautious proxy, whereas the GPT-5.4 judge [ICC(3,1) = 0.217] was unsuitable for this purpose. Expert final review remains indispensable for any document intended for accreditation submission, formal QMS adoption, or operational deployment.</w:t>
      </w:r>
    </w:p>
    <w:p>
      <w:pPr>
        <w:spacing w:before="80" w:after="80" w:lineRule="auto" w:line="360"/>
        <w:ind w:firstLine="0"/>
        <w:jc w:val="both"/>
      </w:pPr>
      <w:r>
        <w:rPr>
          <w:rFonts w:ascii="Times New Roman" w:hAnsi="Times New Roman" w:eastAsia="宋体"/>
          <w:b w:val="0"/>
          <w:sz w:val="22"/>
        </w:rPr>
        <w:t>To our knowledge, this is the first systematic comparison of prompt-content effects on ISO 15189–compliant QMS document generation across two state-of-the-art LLMs and a three-tier evaluation framework; the findings provide an empirical foundation for prompt design guidelines in laboratory accreditation workflows.</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was solely responsible for the conceptualisation and design of the study, the conduct of all experiments, the data analysis, the drafting and finalisation of the manuscript,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blinded expert ratings, and all analysis code are openly available on GitHub (https://github.com/stttttte/iso15189-llm-config-experiment) under a dual licence: MIT for code and CC BY 4.0 for data. A versioned snapshot has been archived on Zenodo (DOI: [10.5281/zenodo.20091464](https://doi.org/10.5281/zenodo.20091464)).</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the blinded expert review (Raters 2 and 3) for providing an independent expert perspective with full informed consent.</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The nine prompt configurations evaluated in the study. Left panel: inclusion of each configuration across the four prompt-content dimensions (rules, document skeleton, detailed content, worked examples); ✓ = full inclusion, ◐ = partial inclusion, — = absent. Right panel: total system-prompt size of each configuration, expressed in thousands of tokens (cl100k_base tokenizer).</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Cells show the mean compliance score (0–5 Likert scale) across the three representative tasks (A1, B1, C1) for each of the nine configurations (rows) crossed with the four generator–judge combinations (columns). C_full exhibits a marked drop in the two GPT-generated columns (1.40 and 1.84, indicated by black-bordered cells), in sharp contrast with the two Claude-generated columns (Claude-judge × Claude-generated = 4.56; GPT-judge × Claude-generated =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compliance scores by the LLM judges relative to the three-rater expert panel (n = 10 documents × 3 raters). Horizontal axis: mean rating of the three experts. Vertical axis: LLM-judge rating. Left: Claude Opus 4.6 as judge [ICC(3,1) = 0.548; Pearson r = 0.573; mean difference (expert − Claude) = −0.905]. Right: GPT-5.4 as judge [ICC(3,1) = 0.217; Pearson r = 0.259; mean difference (expert − GPT) = −0.525]. Dashed line: 1:1 perfect agreement. Markers are colour-coded by configuration (legend inset).</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score (0–5 Likert) versus system-prompt token size, computed on the n = 10 expert-blinded subset (seven configurations; per-stratum n = 1 or 2). Horizontal axis: token count on a symmetric-logarithmic scale (cl100k_base tokenizer). All three curves are based on the same matched samples: solid green line with squares, three-rater expert mean; solid red line with circles, Claude Opus 4.6 judge applied to Claude-generated outputs; solid blue line with triangles, GPT-5.4 judge applied to Claude-generated outputs. Orange-shaded band: the token-efficient optimum identified by the LLM-judge tier (H4_sop_only / H3_skeleton). Green-shaded band: the clinical-usability optimum identified by expert evaluation (F_template / G_template_rules). Error bars are omitted because per-stratum n = 1 or 2; the corresponding LLM-versus-expert calibration scatter is shown in Figure 3.</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2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15</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