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ISO 15189 Compliance of LLM-Generated Medical Laboratory QMS Documents: Claude Opus 4.6 vs. GPT-5.4 Across Prompting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Prompting strategies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To compare ISO 15189:2022 compliance of LLM-generated QMS documents across prompting configurations and characterise LLM-as-judge biases.</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We generated 486 QMS documents using Claude Opus 4.6 (9 configurations × 15 tasks × 3 replicates = 405) and GPT-5.4 (81 for cross-model validation), spanning four prompt-content dimensions (rules, document skeleton, detailed content, worked examples; 0–56,000 tokens). Compliance was rated on a 0–5 Likert scale via three tiers: an automated rule-based scorer, dual LLM-as-judge review (864 ratings), and blinded review of 10 stratified-sampled documents by three qualified ISO 15189 internal auditors. Ablation effects used Mann–Whitney U with BH correction and bootstrap 95% CIs; inter-rater reliability used ICC variants.</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At the LLM-judge tier, only the rules component produced a significant compliance gain (Δ = +0.511; BH-adjusted p &lt; 0.001). C_full (~56,000 tokens) scored 3.22–4.56 with Claude vs. 1.40–1.84 with GPT-5.4. Both LLM judges rated Claude-generated outputs ~0.30 points higher (Panickssery: +0.29 Claude, −0.30 GPT), concentrated at C_full and incompatible with classical self-preference. Expert inter-rater agreement was excellent [ICC(2,k) = 0.982]; Claude–expert agreement was moderate [ICC(3,1) = 0.548] and GPT–expert poor [ICC(3,1) = 0.217]; LLM judges overestimated experts by 0.52–0.90 points. The LLM-favoured H4_sop_only (~2,000 tokens) fell to fifth of seven under expert review (3.20), whereas template-anchored F_template, H2_keep_examples, and G_template_rules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Optimal configuration depends on evaluation tier: minimal prompts (~1,000–2,000 tokens) for exploratory drafts; template-anchored prompts (~15,000–16,000 tokens) for accreditation submission; C_full (~56,000 tokens) avoided with GPT-5.4. LLM-as-judge may support first-pass screening; expert final review remains indispensable.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[7] is the international standard for medical laboratory accreditation, and its adoption by Chinese medical laboratories has continued to expand under the China National Accreditation Service for Conformity Assessment (CNAS) framework [14]. The corresponding national implementation document, CNAS-CL02:2023, was issued in parallel. Such standards prescribe what laboratories must achieve, not how to achieve it, requiring each laboratory to construct an independent quality management system (QMS) documentation set comprising a quality manual, procedure documents, and standard operating instructions. Based on the corresponding author's experience as an ISO 15189 internal auditor, such a system in a typical tertiary-level hospital clinical laboratory contains on the order of 100–300 controlled documents and spans structural organisation, clause-to-document mapping, form numbering, and responsibility assignment; manual drafting by an in-house quality team typically takes several months, followed by multiple rounds of internal audit before finalisation.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sz w:val="22"/>
        </w:rPr>
        <w:t>The advancement of large language models (LLMs) has raised the possibility of automating substantial portions of this workload. State-of-the-art models such as Claude Opus 4.6 and GPT-5.4 have demonstrated competence in long-document generation, structured output, and the use of domain-specific terminology [1, 2], and LLMs have been applied to scientific research [8] and medical question answering [9]. However, the optimal system-prompt design for producing compliant and operationally usable QMS documents has not been systematically investigated. Two contrasting approaches have emerged in practice: a full-context approach that loads all potentially relevant material—the ISO standard text, CNAS criteria, an existing document library, and worked examples—into the system prompt, often exceeding 50,000–100,000 tokens; and a minimal-prompt approach that supplies only rule constraints and section skeletons, relying on the model's internalised knowledge for content generation, with prompts limited to a few thousand tokens. Empirical evidence supporting either approach remains limited, as existing surveys of LLM behaviour and prompting [4, 12] have focused on general-purpose tasks and have not systematically compared specialised regulatory-document scenarios such as QMS authoring.</w:t>
      </w:r>
    </w:p>
    <w:p>
      <w:pPr>
        <w:spacing w:before="80" w:after="80" w:lineRule="auto" w:line="360"/>
        <w:ind w:firstLine="0"/>
        <w:jc w:val="both"/>
      </w:pPr>
      <w:r>
        <w:rPr>
          <w:rFonts w:ascii="Times New Roman" w:hAnsi="Times New Roman" w:eastAsia="宋体"/>
          <w:b w:val="0"/>
          <w:sz w:val="22"/>
        </w:rPr>
        <w:t>A second, more fundamental concern relates to the evaluation methodology itself. LLM-generated outputs are now most commonly assessed using the LLM-as-judge paradigm, in which a separate LLM serves as the rater [5]. Long-form text generation evaluation [10] and large-scale human-preference benchmarking [11] have emerged as the principal evaluation paradigms in this literature. Prior work has documented that LLM judges tend to exhibit a self-preference bias, favouring outputs produced by models within their own family [6]. However, whether and how this bias manifests in specialised regulatory domains such as medical laboratory QMS, and how it propagates into configuration-comparison conclusions, has not been empirically characterised.</w:t>
      </w:r>
    </w:p>
    <w:p>
      <w:pPr>
        <w:spacing w:before="80" w:after="80" w:lineRule="auto" w:line="360"/>
        <w:ind w:firstLine="0"/>
        <w:jc w:val="both"/>
      </w:pPr>
      <w:r>
        <w:rPr>
          <w:rFonts w:ascii="Times New Roman" w:hAnsi="Times New Roman" w:eastAsia="宋体"/>
          <w:b w:val="0"/>
          <w:sz w:val="22"/>
        </w:rPr>
        <w:t>To address these gaps, the present study generated 486 QMS documents, collected 864 LLM-judge ratings, and obtained 30 blinded expert ratings to investigate the following research questions: (i) Which components of a system-prompt configuration—rules, document skeleton, detailed content, or worked examples—contribute most to the compliance of LLM-generated QMS documents? (ii) What is the minimum effective token budget? (iii) Does the optimal configuration generalise across generation models (Claude Opus 4.6 vs GPT-5.4)? (iv) What is the magnitude of LLM-judge self-preference bias in this domain? (v) Across a multi-tier evaluation framework combining automated scoring, LLM judges, and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prompt configurations were designed by systematic substitution along four prompt-content dimensions—rules, document skeleton, detailed content, and worked examples—varied across operationally relevant levels: three levels (absent / partial / full) for rules and document skeleton, and binary (absent / present) for detailed content and worked examples (Figure 1). Two minimal configurations served as baselines: A_bare (0 tokens; no system prompt) and B_simple (~300 tokens; a brief task instruction containing six numbered constraints—language, file structure, standard citations, terminology, expression style, and numbering—coded as the partial level of the rules dimension). C_full (~56,000 tokens) represented the full-context input strategy, comprising the laboratory profile and the full set of SOPs concatenated into a single context block; because no standalone enforcement-oriented rule block was supplied, C_full was also coded as the partial level of the rules dimension. E_rules_v2 (~1,200 tokens) contained only the rules component; F_template (~15,000 tokens) contained the complete document template without rules; G_template_rules (~16,000 tokens) combined the rules component with the template; H2_keep_examples (~25,000 tokens) extended G_template_rules with worked examples; H3_skeleton (~5,000 tokens) preserved the module skeleton while removing detailed content; and H4_sop_only (~2,000 tokens) retained only the single SOP skeleton most relevant to the requested task. The letter D is intentionally skipped in the alphabetic sequence: an earlier D_rules variant was deprecated after expert validation identified terminology errors and was replaced by E_rules_v2; the gap is retained to preserve the chronological identifier scheme.</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The nine prompt configurations evaluated in the study. Left panel: inclusion of each configuration across the four prompt-content dimensions (rules, document skeleton, detailed content, worked examples); ✓ = full inclusion, ◐ = partial inclusion, — = absent. Right panel: total system-prompt size of each configuration, expressed in thousands of tokens (cl100k_base tokenizer).</w:t>
      </w:r>
    </w:p>
    <w:p>
      <w:pPr>
        <w:spacing w:before="80" w:after="80" w:lineRule="auto" w:line="360"/>
        <w:ind w:firstLine="0"/>
        <w:jc w:val="both"/>
      </w:pPr>
      <w:r>
        <w:rPr>
          <w:rFonts w:ascii="Times New Roman" w:hAnsi="Times New Roman" w:eastAsia="宋体"/>
          <w:b w:val="0"/>
          <w:sz w:val="22"/>
        </w:rPr>
        <w:t>The rules component was derived from a curated rules.md file (~1,200 tokens) and refined through domain-expert review. Three incorrect terminology mappings were removed (instrument → equipment; calibrator product → calibrator; inter-laboratory comparison → proficiency testing) and three target terms were corrected (specimen → sample; test item → measurand; linear range → reportable range); arrows denote the non-preferred → ISO 15189-preferred direction. The final rule set retained 10 verified terminology mappings and seven categories of prohibited vague expressions. The document skeleton was extracted from the institutional template library using a custom *strip_to_skeleton* algorithm, which preserved section headings, each section's introductory paragraph, and form-numbering schemes, while removing verbatim clause excerpts, detailed tabular content, worked examples, step-by-step procedures, and fenced code blocks (markdown ... constructs enclosing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were computed using the cl100k_base tokenizer (OpenAI tiktoken library); for mixed Chinese–English medical text, this tokenizer typically differs from the Anthropic-native tokenizer by ≤10% and was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1.</w:t>
      </w:r>
    </w:p>
    <w:p>
      <w:pPr>
        <w:spacing w:before="160" w:after="40" w:lineRule="auto" w:line="300"/>
        <w:jc w:val="left"/>
      </w:pPr>
      <w:r>
        <w:rPr>
          <w:rFonts w:ascii="Arial" w:hAnsi="Arial" w:eastAsia="黑体"/>
          <w:b/>
          <w:sz w:val="22"/>
        </w:rPr>
        <w:t>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format = 0.18, clause coverage = 0.22, and terminology = 0.13 — three of the seven weights defined in the WEIGHTS dictionary of auto_scorer.py. The remaining four entries of the dictionary (logical consistency = 0.18, operability = 0.10, safety compliance = 0.09, and manual-revision burden = 0.10; sum = 0.47) are vestigial entries from an earlier seven-dimension scoring plan that was superseded by the three-tier framework described in §2.3; they are not part of auto_weighted and therefore do not contribute to the Tier 1 ranking. The three implemented weights sum to 0.53, so auto_weighted has a theoretical range of [0, 2.65] on the 0–5 score scale. This sub-unit weight sum is a purely cosmetic feature of the scoring scale: rescaling every weight by 1/0.53 to renormalise to unit sum (≈ 0.34, 0.42, and 0.25 for format, clause coverage, and terminology, respectively) is a positive linear transformation of auto_weighted and therefore preserves both the per-configuration mean ordering and the min-max normalisation used to construct the composite ranking in §3.1 (Spearman ρ = 1.00 by construction). All Tier 1 rankings reported in §3 are consequently invariant to the choice between the original and the unit-sum weighting schemes.</w:t>
      </w:r>
    </w:p>
    <w:p>
      <w:pPr>
        <w:spacing w:before="160" w:after="40" w:lineRule="auto" w:line="300"/>
        <w:jc w:val="left"/>
      </w:pPr>
      <w:r>
        <w:rPr>
          <w:rFonts w:ascii="Arial" w:hAnsi="Arial" w:eastAsia="黑体"/>
          <w:b/>
          <w:sz w:val="22"/>
        </w:rPr>
        <w:t>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1)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1);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160" w:after="40" w:lineRule="auto" w:line="300"/>
        <w:jc w:val="left"/>
      </w:pPr>
      <w:r>
        <w:rPr>
          <w:rFonts w:ascii="Arial" w:hAnsi="Arial" w:eastAsia="黑体"/>
          <w:b/>
          <w:sz w:val="22"/>
        </w:rPr>
        <w:t>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1) as the LLM judges. Rater 1 was the first author, a qualified ISO 15189 internal auditor;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1)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160" w:after="40" w:lineRule="auto" w:line="300"/>
        <w:jc w:val="left"/>
      </w:pPr>
      <w:r>
        <w:rPr>
          <w:rFonts w:ascii="Arial" w:hAnsi="Arial" w:eastAsia="黑体"/>
          <w:b/>
          <w:sz w:val="22"/>
        </w:rPr>
        <w:t>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160" w:after="40" w:lineRule="auto" w:line="300"/>
        <w:jc w:val="left"/>
      </w:pPr>
      <w:r>
        <w:rPr>
          <w:rFonts w:ascii="Arial" w:hAnsi="Arial" w:eastAsia="黑体"/>
          <w:b/>
          <w:sz w:val="22"/>
        </w:rPr>
        <w:t>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160" w:after="40" w:lineRule="auto" w:line="300"/>
        <w:jc w:val="left"/>
      </w:pPr>
      <w:r>
        <w:rPr>
          <w:rFonts w:ascii="Arial" w:hAnsi="Arial" w:eastAsia="黑体"/>
          <w:b/>
          <w:sz w:val="22"/>
        </w:rPr>
        <w:t>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160" w:after="40" w:lineRule="auto" w:line="300"/>
        <w:jc w:val="left"/>
      </w:pPr>
      <w:r>
        <w:rPr>
          <w:rFonts w:ascii="Arial" w:hAnsi="Arial" w:eastAsia="黑体"/>
          <w:b/>
          <w:sz w:val="22"/>
        </w:rPr>
        <w:t>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+0.464 (Claude) and −0.472 (GPT), preserving the sign and direction of the classical estimates (+0.294 and −0.301) reported in §3.4.</w:t>
      </w:r>
    </w:p>
    <w:p>
      <w:pPr>
        <w:spacing w:before="160" w:after="40" w:lineRule="auto" w:line="300"/>
        <w:jc w:val="left"/>
      </w:pPr>
      <w:r>
        <w:rPr>
          <w:rFonts w:ascii="Arial" w:hAnsi="Arial" w:eastAsia="黑体"/>
          <w:b/>
          <w:sz w:val="22"/>
        </w:rPr>
        <w:t>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at only ~2,000 tokens — well below the template-anchored configurations (G_template_rules ~16,000; H2_keep_examples ~25,000) and the full-context C_full (~56,000); as reported in §3.5, however, this ranking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displays the 2 × 2 symmetric design—Claude-generated × Claude-judge, Claude-generated × GPT-judge, GPT-generated × Claude-judge, and GPT-generated × GPT-judge—evaluated on the 9 configurations across the three representative tasks (A1, B1, C1) with three replicates per cell. The full-context configuration C_full (~56,000 tokens) exhibited a sharp drop in evaluated compliance when generated by GPT-5.4: the GPT-generated × Claude-judge mean was 1.40 and the GPT-generated × GPT-judge mean was 1.84 on the 0–5 Likert scale, whereas the same C_full configuration generated by Claude Opus 4.6 yielded cross-evaluated mean scores in the range 3.22–4.56 across the two judges. This pattern indicates that the apparent usability of the ~56,000-token full-context configuration is specific to Claude Opus 4.6 and does not generalise to GPT-5.4 within the parameters tested. Qualitative inspection of the GPT-generated C_full outputs by the authors identified three recurrent failure modes: instruction-following degradation, in which early constraints stated in the system prompt were no longer reflected in later sections of the output; structural breakdown, manifesting as inconsistent section ordering, missing required headings, or numbering errors; and clause-citation confusion, including the use of incorrect, mismatched, or fabricated ISO 15189:2022 clause identifiers. These failure modes were not observed in the corresponding Claude Opus 4.6 outputs.</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Cells show the mean compliance score (0–5 Likert scale) across the three representative tasks (A1, B1, C1) for each of the nine configurations (rows) crossed with the four generator–judge combinations (columns). C_full exhibits a marked drop in the two GPT-generated columns (1.40 and 1.84, indicated by black-bordered cells), in sharp contrast with the two Claude-generated columns (Claude-judge × Claude-generated = 4.56; GPT-judge × Claude-generated =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+0.294 on the 0–5 Likert scale (positive in 6 of 9 configurations; the largest single-configuration value, +3.156, occurred at C_full). The mean bias of the GPT judge was −0.301 (negative in 6 of 9 configurations, with positive values at A_bare and B_simple and zero at F_template). The two judges therefore agreed in direction: across configurations, both effectively rated Claude-generated outputs approximately 0.30 points higher than GPT-generated outputs, despite using nominally opposite-signed self-preference indices. When C_full was excluded as the dominant outlier, the Claude-judge mean bias attenuated to −0.064 (median across the nine configurations: +0.200) and the GPT-judge mean bias attenuated to −0.167 (median: −0.311), indicating that the Panickssery indices reported above are disproportionately driven by C_full, where the long-context failure modes documented in §3.3 amplify cross-judge disagreement.</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1)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compliance scores by the LLM judges relative to the three-rater expert panel (n = 10 documents × 3 raters). Horizontal axis: mean rating of the three experts. Vertical axis: LLM-judge rating. Left: Claude Opus 4.6 as judge [ICC(3,1) = 0.548; Pearson r = 0.573; mean difference (expert − Claude) = −0.905]. Right: GPT-5.4 as judge [ICC(3,1) = 0.217; Pearson r = 0.259; mean difference (expert − GPT) = −0.525]. Dashed line: 1:1 perfect agreement. Markers are colour-coded by configuration (legend inset).</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~15,000–25,000-token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computed on the n = 10 expert-blinded subset (seven configurations; per-stratum n = 1 or 2). Horizontal axis: token count on a symmetric-logarithmic scale (cl100k_base tokenizer). All three curves are based on the same matched samples: solid green line with squares, three-rater expert mean; solid red line with circles, Claude Opus 4.6 judge applied to Claude-generated outputs; solid blue line with triangles, GPT-5.4 judge applied to Claude-generated outputs. Orange-shaded band: the token-efficient optimum identified by the LLM-judge tier (H4_sop_only / H3_skeleton). Green-shaded band: the clinical-usability optimum identified by expert evaluation (F_template / G_template_rules). Error bars are omitted because per-stratum n = 1 or 2; the corresponding LLM-versus-expert calibration scatter is shown in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The four-component ablation supports a parsimonious account at the LLM-judge tier: the rules component was necessary (BH-adjusted p &lt; 0.001), the document-skeleton component contributed a directionally positive but non-significant effect (BH-adjusted p = 0.11), and neither detailed content nor worked examples produced detectable compliance gains (§3.2). This pattern aligns with the lost-in-the-middle phenomenon described by Liu et al. [3] — in which appending large volumes of contextual material to long prompts can dilute model attention and degrade output quality — and with prompt-engineering literature more broadly [12].</w:t>
      </w:r>
    </w:p>
    <w:p>
      <w:pPr>
        <w:spacing w:before="80" w:after="80" w:lineRule="auto" w:line="360"/>
        <w:ind w:firstLine="0"/>
        <w:jc w:val="both"/>
      </w:pPr>
      <w:r>
        <w:rPr>
          <w:rFonts w:ascii="Times New Roman" w:hAnsi="Times New Roman" w:eastAsia="宋体"/>
          <w:b w:val="0"/>
          <w:sz w:val="22"/>
        </w:rPr>
        <w:t>The expert-tier analysis qualifies this simplification (§3.5). Detailed content—the full document template embedded in F_template and G_template_rules—was associated with substantially higher expert-rated compliance than skeleton-only configurations: on the 0–5 Likert scale, F_template scored 4.24 (n = 1) and G_template_rules scored 4.06 (n = 2), compared with 3.20 (n = 2) for H4_sop_only, an apparent difference of approximately one point (these per-stratum samples are small and the comparison should therefore be interpreted as exploratory; see §3.5). A plausible explanation is that the model's internalised knowledge does not reliably cover the clinical-practice sub-scenarios required by ISO 15189:2022 and CNAS-CL02:2023—including, in our task set, emergency-sample handling, the acceptance of patient-self-collected specimens, qualification requirements for sample-courier personnel, and detailed criteria for sample rejection. When such sub-scenarios are not supplied explicitly through the system prompt, the model tends to default to generic procedural language that satisfies the structural and terminological criteria captured by automated and LLM-based scoring (§3.6) but lacks the operational depth that expert reviewers identify as the threshold for accreditation-grade documentation. Prompt minimisation is therefore appropriate when the goal is rapid drafting under LLM-only review, whereas template-anchored prompts are required when expert-validated compliance is the target.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While template anchoring improves expert-rated compliance (§4.1), even maximally extending the prompt can be counter-productive when the underlying model lacks reliable long-context handling. C_full (~56,000 tokens) represents an intuitively safe configuration: it includes all potentially relevant material and reflects the common heuristic that providing more context produces more reliable output. In our data this heuristic was not borne out across the two generation models. Whereas Claude Opus 4.6 generation under C_full produced cross-evaluated mean scores of 3.22–4.56 on the 0–5 Likert scale (§3.3), GPT-5.4 generation under the same configuration produced scores of only 1.40–1.84 (based on 9 documents covering 3 representative tasks × 3 replicates), accompanied by the three recurrent failure modes documented in §3.3—instruction-following degradation, structural breakdown, and clause-citation confusion. A plausible explanation, consistent with the lost-in-the-middle phenomenon described by Liu et al. [3] and with the long-context benchmarks reported in the model vendors' technical documentation [1, 2], is that Claude Opus 4.6 maintained more stable attention over long contexts in the relevant length regime, whereas GPT-5.4, within the parameters tested here, did not preserve coherent compliance with system-prompt constraints at this scale.</w:t>
      </w:r>
    </w:p>
    <w:p>
      <w:pPr>
        <w:spacing w:before="80" w:after="80" w:lineRule="auto" w:line="360"/>
        <w:ind w:firstLine="0"/>
        <w:jc w:val="both"/>
      </w:pPr>
      <w:r>
        <w:rPr>
          <w:rFonts w:ascii="Times New Roman" w:hAnsi="Times New Roman" w:eastAsia="宋体"/>
          <w:b w:val="0"/>
          <w:sz w:val="22"/>
        </w:rPr>
        <w:t>The methodological implication is that any claim of the form "configuration X is acceptable" requires validation across multiple generation models. Single-model evaluation entangles configuration effects with idiosyncratic model characteristics—including long-context handling, instruction-following stability, and the degree of overlap between the model's training distribution and the target regulatory domain—and therefore provides no basis for cross-model extrapolation. We accordingly caution against the operational deployment of long-context QMS prompts (e.g., those approaching or exceeding ~50,000 tokens) under any LLM until the configuration has been validated for that specific model and version, particularly because long-context behaviour can change substantially between model families and even between successive versions of a single family.</w:t>
      </w:r>
    </w:p>
    <w:p>
      <w:pPr>
        <w:spacing w:before="200" w:after="80" w:lineRule="auto" w:line="300"/>
        <w:jc w:val="left"/>
      </w:pPr>
      <w:r>
        <w:rPr>
          <w:rFonts w:ascii="Arial" w:hAnsi="Arial" w:eastAsia="黑体"/>
          <w:b/>
          <w:sz w:val="24"/>
        </w:rPr>
        <w:t>4.3 Bias profile and appropriate use of LLM-as-judge</w:t>
      </w:r>
    </w:p>
    <w:p>
      <w:pPr>
        <w:spacing w:before="80" w:after="80" w:lineRule="auto" w:line="360"/>
        <w:ind w:firstLine="0"/>
        <w:jc w:val="both"/>
      </w:pPr>
      <w:r>
        <w:rPr>
          <w:rFonts w:ascii="Times New Roman" w:hAnsi="Times New Roman" w:eastAsia="宋体"/>
          <w:b w:val="0"/>
          <w:sz w:val="22"/>
        </w:rPr>
        <w:t>The present study quantified two distinct categories of rating bias. The first is a cross-judge directional pattern: both LLM judges rated Claude-generated outputs approximately 0.30 points higher than GPT-generated outputs on the 0–5 Likert scale (Panickssery classical estimates: +0.29 for the Claude judge and −0.30 for the GPT judge; §3.4). However, as detailed in §3.4, this population-level average was strongly leveraged by the C_full configuration; when C_full is excluded, the Claude-judge mean bias attenuates to −0.064 and the GPT-judge mean bias to −0.167, indicating that the cross-judge directional pattern is concentrated at the long-context configuration rather than constituting a uniform property of the LLM-as-judge framework. This opposite-signed pattern is incompatible with classical same-family self-preference—which would predict same-signed positive biases for both judges—and is therefore attributable either to a genuine generation-quality gap between Claude Opus 4.6 and GPT-5.4 or to judge-side preferences for the Claude-generated stylistic register that are shared by both LLM judges. As noted in §4.2 and §4.5(i), the present design—in which expert evaluation was restricted to Claude-generated documents—cannot fully disambiguate these interpretations, although the GPT-specific failure modes documented in §3.3 (instruction-following degradation, structural breakdown, and clause-citation confusion) provide indirect support for a genuine quality contribution. The second category is a systematic LLM–expert offset: both LLM judges overestimated expert-determined compliance by 0.52–0.90 points on the same scale (§3.5).</w:t>
      </w:r>
    </w:p>
    <w:p>
      <w:pPr>
        <w:spacing w:before="80" w:after="80" w:lineRule="auto" w:line="360"/>
        <w:ind w:firstLine="0"/>
        <w:jc w:val="both"/>
      </w:pPr>
      <w:r>
        <w:rPr>
          <w:rFonts w:ascii="Times New Roman" w:hAnsi="Times New Roman" w:eastAsia="宋体"/>
          <w:b w:val="0"/>
          <w:sz w:val="22"/>
        </w:rPr>
        <w:t>Translating these biases into operational guidance, the Claude judge—whose ranking achieved moderate agreement with the three-expert mean [ICC(3,1) = 0.548, p = 0.04]—may serve as a coarse first-pass filter in large-scale generation pipelines, screening out clearly low-quality outputs before expert review. The GPT judge's poor expert agreement [ICC(3,1) = 0.217, p = 0.26] precludes its use as a proxy for expert assessment in this domain. For documents intended for accreditation submission, formal QMS adoption, or operational deployment, expert final review remains indispensable. The configuration-level operational implications of these biases are summarised in §4.4 (Table 2).</w:t>
      </w:r>
    </w:p>
    <w:p>
      <w:pPr>
        <w:spacing w:before="200" w:after="80" w:lineRule="auto" w:line="300"/>
        <w:jc w:val="left"/>
      </w:pPr>
      <w:r>
        <w:rPr>
          <w:rFonts w:ascii="Arial" w:hAnsi="Arial" w:eastAsia="黑体"/>
          <w:b/>
          <w:sz w:val="24"/>
        </w:rPr>
        <w:t>4.4 Configuration recommendations stratified by use scenario</w:t>
      </w:r>
    </w:p>
    <w:p>
      <w:pPr>
        <w:spacing w:before="80" w:after="80" w:lineRule="auto" w:line="360"/>
        <w:ind w:firstLine="0"/>
        <w:jc w:val="both"/>
      </w:pPr>
      <w:r>
        <w:rPr>
          <w:rFonts w:ascii="Times New Roman" w:hAnsi="Times New Roman" w:eastAsia="宋体"/>
          <w:b w:val="0"/>
          <w:sz w:val="22"/>
        </w:rPr>
        <w:t>Synthesising the evidence from the three evaluation tiers, we summarise configuration recommendations for the principal QMS-generation use scenarios in Table 2. The recommendations reflect the key trade-off identified in §3.5 and §3.6: configurations that score highest at the LLM-judge tier (H4_sop_only, E_rules_v2) are the most token-efficient but lack the clinical-practice depth required for accreditation-grade documentation, whereas template-anchored configurations (F_template, G_template_rules) are penalised at the LLM-judge tier yet produce the highest expert-rated compliance.</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Configuration recommendations stratified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expert-rated compliance;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GPT-5.4 generation; lowest cross-evaluation rank under debiasing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Insufficient prompt anchoring;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A practical end-to-end workflow emerging from these data is to: (i) generate a rapid first draft using H4_sop_only; (ii) supplement clinical-practice detail through manual review or targeted re-prompting; and (iii) regenerate or refine the final accreditation-grade document using G_template_rules.</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w:t>
      </w:r>
    </w:p>
    <w:p>
      <w:pPr>
        <w:spacing w:before="80" w:after="80" w:lineRule="auto" w:line="360"/>
        <w:ind w:firstLine="0"/>
        <w:jc w:val="both"/>
      </w:pPr>
      <w:r>
        <w:rPr>
          <w:rFonts w:ascii="Times New Roman" w:hAnsi="Times New Roman" w:eastAsia="宋体"/>
          <w:b/>
          <w:sz w:val="22"/>
        </w:rPr>
        <w:t>(i) Limited expert sample, restricted to Claude-generated documents.</w:t>
      </w:r>
      <w:r>
        <w:rPr>
          <w:rFonts w:ascii="Times New Roman" w:hAnsi="Times New Roman" w:eastAsia="宋体"/>
          <w:b w:val="0"/>
          <w:sz w:val="22"/>
        </w:rPr>
        <w:t xml:space="preserve"> The expert tier comprised three raters scoring 10 documents (per-stratum n = 1 or 2; see §3.5), all drawn from the Claude-generation pool; no GPT-generated documents underwent expert evaluation. The present design therefore supports only directional ranking conclusions for Claude-generated documents and does not permit strict statistical inference. Consequently, the §3.4 ambiguity between (a) a genuine generation-quality gap between Claude Opus 4.6 and GPT-5.4 and (b) shared judge-side stylistic preferences cannot be resolved within the present sample. Furthermore, the cross-judge bias estimates reported in §3.4 are strongly leveraged by the C_full configuration, which contributes the largest single-configuration value (+3.156) to the Claude-judge mean and −1.378 to the GPT-judge mean; future replication should therefore report per-configuration bias profiles separately to disentangle long-context-specific effects from configuration-independent judge preferences. All 10 sampled documents were Class A procedure documents (§2.3.3); cross-class generalisation to Class B (system operation) and Class C (audit simulation) tasks requires separate validation. Multi-centre validation with three to five raters scoring 30–50 documents per institution—including matched GPT-generated samples and Class B/C tasks—is a key direction for future work.</w:t>
      </w:r>
    </w:p>
    <w:p>
      <w:pPr>
        <w:spacing w:before="80" w:after="80" w:lineRule="auto" w:line="360"/>
        <w:ind w:firstLine="0"/>
        <w:jc w:val="both"/>
      </w:pPr>
      <w:r>
        <w:rPr>
          <w:rFonts w:ascii="Times New Roman" w:hAnsi="Times New Roman" w:eastAsia="宋体"/>
          <w:b/>
          <w:sz w:val="22"/>
        </w:rPr>
        <w:t>(ii) Same-institution agreement may overestimate generalisability.</w:t>
      </w:r>
      <w:r>
        <w:rPr>
          <w:rFonts w:ascii="Times New Roman" w:hAnsi="Times New Roman" w:eastAsia="宋体"/>
          <w:b w:val="0"/>
          <w:sz w:val="22"/>
        </w:rPr>
        <w:t xml:space="preserve"> The very high agreement among the three experts [ICC(2,k) = 0.982] both supports the validity of the five-dimensional rubric and likely reflects shared professional culture, training lineage, and clause-interpretation habits within a single institution. The observed reliability may therefore overestimate cross-institution generalisability.</w:t>
      </w:r>
    </w:p>
    <w:p>
      <w:pPr>
        <w:spacing w:before="80" w:after="80" w:lineRule="auto" w:line="360"/>
        <w:ind w:firstLine="0"/>
        <w:jc w:val="both"/>
      </w:pPr>
      <w:r>
        <w:rPr>
          <w:rFonts w:ascii="Times New Roman" w:hAnsi="Times New Roman" w:eastAsia="宋体"/>
          <w:b/>
          <w:sz w:val="22"/>
        </w:rPr>
        <w:t>(iii) Dual role of the first author.</w:t>
      </w:r>
      <w:r>
        <w:rPr>
          <w:rFonts w:ascii="Times New Roman" w:hAnsi="Times New Roman" w:eastAsia="宋体"/>
          <w:b w:val="0"/>
          <w:sz w:val="22"/>
        </w:rPr>
        <w:t xml:space="preserve"> The first author served both as Rater 1 and as study designer. To mitigate self-influence, Raters 2 and 3 completed their scoring without access to Rater 1's prior ratings, and the per-rater data are openly released for independent audit.</w:t>
      </w:r>
    </w:p>
    <w:p>
      <w:pPr>
        <w:spacing w:before="80" w:after="80" w:lineRule="auto" w:line="360"/>
        <w:ind w:firstLine="0"/>
        <w:jc w:val="both"/>
      </w:pPr>
      <w:r>
        <w:rPr>
          <w:rFonts w:ascii="Times New Roman" w:hAnsi="Times New Roman" w:eastAsia="宋体"/>
          <w:b/>
          <w:sz w:val="22"/>
        </w:rPr>
        <w:t>(iv) Shared rubric between expert and LLM tiers.</w:t>
      </w:r>
      <w:r>
        <w:rPr>
          <w:rFonts w:ascii="Times New Roman" w:hAnsi="Times New Roman" w:eastAsia="宋体"/>
          <w:b w:val="0"/>
          <w:sz w:val="22"/>
        </w:rPr>
        <w:t xml:space="preserve"> The five-dimensional rubric was applied identically by LLM judges and expert raters, introducing a risk of shared-measurement bias. Future work should incorporate expert-native dimensions—such as operational implementability under departmental workflow constraints—that LLM judges are unlikely to have internalised from training data.</w:t>
      </w:r>
    </w:p>
    <w:p>
      <w:pPr>
        <w:spacing w:before="80" w:after="80" w:lineRule="auto" w:line="360"/>
        <w:ind w:firstLine="0"/>
        <w:jc w:val="both"/>
      </w:pPr>
      <w:r>
        <w:rPr>
          <w:rFonts w:ascii="Times New Roman" w:hAnsi="Times New Roman" w:eastAsia="宋体"/>
          <w:b/>
          <w:sz w:val="22"/>
        </w:rPr>
        <w:t>(v) Limited GPT-5.4 task coverage.</w:t>
      </w:r>
      <w:r>
        <w:rPr>
          <w:rFonts w:ascii="Times New Roman" w:hAnsi="Times New Roman" w:eastAsia="宋体"/>
          <w:b w:val="0"/>
          <w:sz w:val="22"/>
        </w:rPr>
        <w:t xml:space="preserve"> Only the A1, B1, and C1 tasks were generated by GPT-5.4 (81 documents), restricting cross-model conclusions to a three-task subset.</w:t>
      </w:r>
    </w:p>
    <w:p>
      <w:pPr>
        <w:spacing w:before="80" w:after="80" w:lineRule="auto" w:line="360"/>
        <w:ind w:firstLine="0"/>
        <w:jc w:val="both"/>
      </w:pPr>
      <w:r>
        <w:rPr>
          <w:rFonts w:ascii="Times New Roman" w:hAnsi="Times New Roman" w:eastAsia="宋体"/>
          <w:b/>
          <w:sz w:val="22"/>
        </w:rPr>
        <w:t>(vi) Domain specificity.</w:t>
      </w:r>
      <w:r>
        <w:rPr>
          <w:rFonts w:ascii="Times New Roman" w:hAnsi="Times New Roman" w:eastAsia="宋体"/>
          <w:b w:val="0"/>
          <w:sz w:val="22"/>
        </w:rPr>
        <w:t xml:space="preserve"> The findings are restricted to ISO 15189 medical-laboratory QMS documents; transferability to adjacent regulatory frameworks (e.g., ISO 17025 for testing and calibration laboratories, or ISO 9001 for general quality management) requires separate validation.</w:t>
      </w:r>
    </w:p>
    <w:p>
      <w:pPr>
        <w:spacing w:before="80" w:after="80" w:lineRule="auto" w:line="360"/>
        <w:ind w:firstLine="0"/>
        <w:jc w:val="both"/>
      </w:pPr>
      <w:r>
        <w:rPr>
          <w:rFonts w:ascii="Times New Roman" w:hAnsi="Times New Roman" w:eastAsia="宋体"/>
          <w:b/>
          <w:sz w:val="22"/>
        </w:rPr>
        <w:t>(vii) Restricted set of LLM judges.</w:t>
      </w:r>
      <w:r>
        <w:rPr>
          <w:rFonts w:ascii="Times New Roman" w:hAnsi="Times New Roman" w:eastAsia="宋体"/>
          <w:b w:val="0"/>
          <w:sz w:val="22"/>
        </w:rPr>
        <w:t xml:space="preserve"> Only Claude Opus 4.6 and GPT-5.4 served as judges; whether the observed cross-judge directional bias and expert-overestimation pattern generalise to additional model families (e.g., Gemini, open-weight models) is unknown.</w:t>
      </w:r>
    </w:p>
    <w:p>
      <w:pPr>
        <w:spacing w:before="80" w:after="80" w:lineRule="auto" w:line="360"/>
        <w:ind w:firstLine="0"/>
        <w:jc w:val="both"/>
      </w:pPr>
      <w:r>
        <w:rPr>
          <w:rFonts w:ascii="Times New Roman" w:hAnsi="Times New Roman" w:eastAsia="宋体"/>
          <w:b/>
          <w:sz w:val="22"/>
        </w:rPr>
        <w:t>(viii) Single-language scope.</w:t>
      </w:r>
      <w:r>
        <w:rPr>
          <w:rFonts w:ascii="Times New Roman" w:hAnsi="Times New Roman" w:eastAsia="宋体"/>
          <w:b w:val="0"/>
          <w:sz w:val="22"/>
        </w:rPr>
        <w:t xml:space="preserve"> All QMS documents were generated and evaluated in Chinese; the configuration effects and bias profiles in English or other languages have not been verified.</w:t>
      </w:r>
    </w:p>
    <w:p>
      <w:pPr>
        <w:spacing w:before="80" w:after="80" w:lineRule="auto" w:line="360"/>
        <w:ind w:firstLine="0"/>
        <w:jc w:val="both"/>
      </w:pPr>
      <w:r>
        <w:rPr>
          <w:rFonts w:ascii="Times New Roman" w:hAnsi="Times New Roman" w:eastAsia="宋体"/>
          <w:b/>
          <w:sz w:val="22"/>
        </w:rPr>
        <w:t>(ix) Model temporality.</w:t>
      </w:r>
      <w:r>
        <w:rPr>
          <w:rFonts w:ascii="Times New Roman" w:hAnsi="Times New Roman" w:eastAsia="宋体"/>
          <w:b w:val="0"/>
          <w:sz w:val="22"/>
        </w:rPr>
        <w:t xml:space="preserve"> The conclusions reflect the specific model versions and parameters tested between 2 April 2026 and 14 April 2026; continued LLM iteration may require periodic re-validation.</w:t>
      </w:r>
    </w:p>
    <w:p>
      <w:pPr>
        <w:spacing w:before="80" w:after="80" w:lineRule="auto" w:line="360"/>
        <w:ind w:firstLine="0"/>
        <w:jc w:val="both"/>
      </w:pPr>
      <w:r>
        <w:rPr>
          <w:rFonts w:ascii="Times New Roman" w:hAnsi="Times New Roman" w:eastAsia="宋体"/>
          <w:b/>
          <w:sz w:val="22"/>
        </w:rPr>
        <w:t>(x) Asymmetric raw-data retention for cross-judge cells.</w:t>
      </w:r>
      <w:r>
        <w:rPr>
          <w:rFonts w:ascii="Times New Roman" w:hAnsi="Times New Roman" w:eastAsia="宋体"/>
          <w:b w:val="0"/>
          <w:sz w:val="22"/>
        </w:rPr>
        <w:t xml:space="preserve"> Per-document raw scores for the Claude-judge × GPT-generated quadrant and for the Claude-judge × H-group × Claude-generated subset were archived only as aggregated means; the per-document JSON files were not retained. The full 2 × 2 self-preference matrix therefore cannot be independently recomputed at the per-document level, although per-document raw Claude-judge ratings for the six core configurations (A/B/C/E/F/G; 270 ratings) and all 486 GPT-judge per-document ratings are openly released.</w:t>
      </w:r>
    </w:p>
    <w:p>
      <w:pPr>
        <w:spacing w:before="80" w:after="80" w:lineRule="auto" w:line="360"/>
        <w:ind w:firstLine="0"/>
        <w:jc w:val="both"/>
      </w:pPr>
      <w:r>
        <w:rPr>
          <w:rFonts w:ascii="Times New Roman" w:hAnsi="Times New Roman" w:eastAsia="宋体"/>
          <w:b/>
          <w:sz w:val="22"/>
        </w:rPr>
        <w:t>(xi) Intra-judge reliability not assessed.</w:t>
      </w:r>
      <w:r>
        <w:rPr>
          <w:rFonts w:ascii="Times New Roman" w:hAnsi="Times New Roman" w:eastAsia="宋体"/>
          <w:b w:val="0"/>
          <w:sz w:val="22"/>
        </w:rPr>
        <w:t xml:space="preserve"> Each LLM judge scored each document exactly once; judges were not asked to re-score documents for the quantification of intra-judge variance. Inter-judge reliability was captured indirectly via the 2 × 2 cross-comparison between the Claude and GPT judges and via the three-expert ICC analysis.</w:t>
      </w:r>
    </w:p>
    <w:p>
      <w:pPr>
        <w:spacing w:before="80" w:after="80" w:lineRule="auto" w:line="360"/>
        <w:ind w:firstLine="0"/>
        <w:jc w:val="both"/>
      </w:pPr>
      <w:r>
        <w:rPr>
          <w:rFonts w:ascii="Times New Roman" w:hAnsi="Times New Roman" w:eastAsia="宋体"/>
          <w:b/>
          <w:sz w:val="22"/>
        </w:rPr>
        <w:t>(xii) No pre-scoring expert calibration session.</w:t>
      </w:r>
      <w:r>
        <w:rPr>
          <w:rFonts w:ascii="Times New Roman" w:hAnsi="Times New Roman" w:eastAsia="宋体"/>
          <w:b w:val="0"/>
          <w:sz w:val="22"/>
        </w:rPr>
        <w:t xml:space="preserve"> The three raters scored independently from the published rubric and the ISO 15189:2022 / CNAS-CL02:2023 standards, without a prior calibration session in which a small number of example documents would be jointly scored to align interpretation. The very high inter-rater agreement indicates that the rubric was sufficiently self-explanatory in the present institutional context, but a formal calibration step is recommended for replication in multi-centre studies.</w:t>
      </w:r>
    </w:p>
    <w:p>
      <w:pPr>
        <w:spacing w:before="80" w:after="80" w:lineRule="auto" w:line="360"/>
        <w:ind w:firstLine="0"/>
        <w:jc w:val="both"/>
      </w:pPr>
      <w:r>
        <w:rPr>
          <w:rFonts w:ascii="Times New Roman" w:hAnsi="Times New Roman" w:eastAsia="宋体"/>
          <w:b/>
          <w:sz w:val="22"/>
        </w:rPr>
        <w:t>(xiii) Claude Code Agent wrapper.</w:t>
      </w:r>
      <w:r>
        <w:rPr>
          <w:rFonts w:ascii="Times New Roman" w:hAnsi="Times New Roman" w:eastAsia="宋体"/>
          <w:b w:val="0"/>
          <w:sz w:val="22"/>
        </w:rPr>
        <w:t xml:space="preserve"> Claude Opus 4.6 generation and Claude-judge ratings were performed via the Claude Code Agent interface rather than through a direct Anthropic SDK call. The Claude Code framework appends a constant framework-level system prompt (tool definitions and file-system guidance) to each user-supplied prompt; the absolute prompt length seen by the model is therefore larger than the per-configuration token counts reported in §2.1. Because this framework overhead is identical across all 9 configurations and across all judging calls, between-configuration relative comparisons and judge–expert agreement findings are unaffected, but exact reproduction of absolute scores requires the same Claude Code version. Re-running the same configurations through a direct Anthropic SDK call may yield slightly different absolute scores.</w:t>
      </w:r>
    </w:p>
    <w:p>
      <w:pPr>
        <w:spacing w:before="80" w:after="80" w:lineRule="auto" w:line="360"/>
        <w:ind w:firstLine="0"/>
        <w:jc w:val="both"/>
      </w:pPr>
      <w:r>
        <w:rPr>
          <w:rFonts w:ascii="Times New Roman" w:hAnsi="Times New Roman" w:eastAsia="宋体"/>
          <w:b/>
          <w:sz w:val="22"/>
        </w:rPr>
        <w:t>(xiv) AIHubMix routing not independently audited.</w:t>
      </w:r>
      <w:r>
        <w:rPr>
          <w:rFonts w:ascii="Times New Roman" w:hAnsi="Times New Roman" w:eastAsia="宋体"/>
          <w:b w:val="0"/>
          <w:sz w:val="22"/>
        </w:rPr>
        <w:t xml:space="preserve"> GPT-5.4 was accessed via the AIHubMix proxy, which advertises transparent forwarding to the upstream OpenAI API. We did not independently verify response equivalence against direct OpenAI calls; subtle routing-level differences (request batching, header handling, regional routing) cannot be ruled out, although the GPT-5.4 model identifier was preserved end-to-end.</w:t>
      </w:r>
    </w:p>
    <w:p>
      <w:pPr>
        <w:spacing w:before="80" w:after="80" w:lineRule="auto" w:line="360"/>
        <w:ind w:firstLine="0"/>
        <w:jc w:val="both"/>
      </w:pPr>
      <w:r>
        <w:rPr>
          <w:rFonts w:ascii="Times New Roman" w:hAnsi="Times New Roman" w:eastAsia="宋体"/>
          <w:b/>
          <w:sz w:val="22"/>
        </w:rPr>
        <w:t>(xv) Temperature setting.</w:t>
      </w:r>
      <w:r>
        <w:rPr>
          <w:rFonts w:ascii="Times New Roman" w:hAnsi="Times New Roman" w:eastAsia="宋体"/>
          <w:b w:val="0"/>
          <w:sz w:val="22"/>
        </w:rPr>
        <w:t xml:space="preserve"> All generations used temperature = 1.0 to reflect realistic interactive use. This introduces stochastic variance (mitigated by three replicates per cell) at the cost of strict bit-level reproducibility; future studies seeking deterministic comparison should re-run at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prompt configuration for LLM-assisted ISO 15189 QMS document generation depends on the evaluation tier. At the LLM-judge tier, H4_sop_only (~2,000 tokens) achieved the highest composite score; under expert evaluation, however, the three highest-rated configurations were the template-anchored F_template (~15,000 tokens), H2_keep_examples (~25,000 tokens), and G_template_rules (~16,000 tokens) (mean = 4.06–4.24 on the 0–5 Likert scale), whereas H4_sop_only fell to fifth of seven configurations, only 0.16 points above the no-prompt baseline A_bare. Minimal-prompt configurations (H4_sop_only or E_rules_v2; ~1,000–2,000 tokens) are therefore appropriate for exploratory drafts that will undergo subsequent expert review, whereas template-anchored configurations (G_template_rules or F_template; ~15,000–16,000 tokens) are required for documents intended for CNAS or equivalent ISO 15189 accreditation submission. C_full (~56,000 tokens) should be avoided in the present setting, particularly when generation is performed by GPT-5.4, given the long-context failure modes documented in §3.3. LLM-as-judge methods may serve as a first-pass screening tool: the Claude judge showed moderate agreement with experts [ICC(3,1) = 0.548] and may be used as a cautious proxy, whereas the GPT-5.4 judge [ICC(3,1) = 0.217] was unsuitable for this purpose. Expert final review remains indispensable for any document intended for accreditation submission, formal QMS adoption, or operational deployment.</w:t>
      </w:r>
    </w:p>
    <w:p>
      <w:pPr>
        <w:spacing w:before="80" w:after="80" w:lineRule="auto" w:line="360"/>
        <w:ind w:firstLine="0"/>
        <w:jc w:val="both"/>
      </w:pPr>
      <w:r>
        <w:rPr>
          <w:rFonts w:ascii="Times New Roman" w:hAnsi="Times New Roman" w:eastAsia="宋体"/>
          <w:b w:val="0"/>
          <w:sz w:val="22"/>
        </w:rPr>
        <w:t>To our knowledge, this is the first systematic comparison of prompt-content effects on ISO 15189–compliant QMS document generation across two state-of-the-art LLMs and a three-tier evaluation framework; the findings provide an empirical foundation for prompt design guidelines in laboratory accreditation workflows.</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was solely responsible for the conceptualisation and design of the study, the conduct of all experiments, the data analysis, the drafting and finalisation of the manuscript,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blinded expert ratings, and all analysis code are openly available on GitHub (https://github.com/stttttte/iso15189-llm-config-experiment) under a dual licence: MIT for code and CC BY 4.0 for data. A versioned snapshot has been archived on Zenodo (DOI: [10.5281/zenodo.20091464](https://doi.org/10.5281/zenodo.20091464)).</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the blinded expert review (Raters 2 and 3) for providing an independent expert perspective with full informed consent.</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2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15</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