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95% CI (0.28, 0.75); BH-adjusted p &lt; 0.001]. The full-context C_full (~56,000 tokens) scored 3.22–4.56 with Claude but only 1.40–1.84 with GPT-5.4. Both judges rated Claude outputs ~0.3 points higher, driven by C_full and incompatible with classical self-preference. Expert agreement was excellent [ICC(2,k) = 0.982]; judge–expert agreement was at best moderate with wide CIs crossing zero, and judges overestimated experts by 0.52–0.90 points. H4_sop_only fell to fifth under expert review;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