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rated all 486 documents along five indicators—format, clauses, terminology, violations, and vagueness.</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acting as a CNAS chief assessor, scored each document on five dimensions (clause coverage, operability, internal consistency, PDCA closure, and professional depth) on a 0–5 scale; 378 documents were rated.</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acted as a judge using the same prompt and covered all 486 documents.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rating rubric as the LLM judges.</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