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Alt Text Submission Form</w:t>
      </w:r>
    </w:p>
    <w:p>
      <w:pPr>
        <w:spacing w:before="80" w:after="80" w:lineRule="auto" w:line="360"/>
        <w:ind w:firstLine="0"/>
        <w:jc w:val="both"/>
      </w:pPr>
      <w:r>
        <w:rPr>
          <w:rFonts w:ascii="Times New Roman" w:hAnsi="Times New Roman" w:eastAsia="宋体"/>
          <w:b/>
          <w:i w:val="0"/>
          <w:sz w:val="24"/>
        </w:rPr>
        <w:t>Manuscript</w:t>
      </w:r>
      <w:r>
        <w:rPr>
          <w:rFonts w:ascii="Times New Roman" w:hAnsi="Times New Roman" w:eastAsia="宋体"/>
          <w:b w:val="0"/>
          <w:i w:val="0"/>
          <w:sz w:val="24"/>
        </w:rPr>
        <w:t>: Evaluating LLM-Assisted Drafting of ISO 15189 Quality Management Documents: Prompt Configuration, LLM-as-Judge Bias, and Exploratory Expert Validation</w:t>
      </w:r>
    </w:p>
    <w:p>
      <w:pPr>
        <w:spacing w:before="80" w:after="80" w:lineRule="auto" w:line="360"/>
        <w:ind w:firstLine="0"/>
        <w:jc w:val="both"/>
      </w:pPr>
      <w:r>
        <w:rPr>
          <w:rFonts w:ascii="Times New Roman" w:hAnsi="Times New Roman" w:eastAsia="宋体"/>
          <w:b w:val="0"/>
          <w:i w:val="0"/>
          <w:sz w:val="24"/>
        </w:rPr>
        <w:t>Alternative text for every image in this submission, provided for accessibility compliance.</w:t>
      </w:r>
    </w:p>
    <w:p>
      <w:pPr>
        <w:spacing w:before="80" w:after="80" w:lineRule="auto" w:line="360"/>
        <w:ind w:firstLine="0"/>
        <w:jc w:val="both"/>
      </w:pPr>
      <w:r>
        <w:rPr>
          <w:rFonts w:ascii="Times New Roman" w:hAnsi="Times New Roman" w:eastAsia="宋体"/>
          <w:b/>
          <w:i w:val="0"/>
          <w:sz w:val="24"/>
        </w:rPr>
        <w:t>Graphical Abstract</w:t>
      </w:r>
    </w:p>
    <w:p>
      <w:pPr>
        <w:spacing w:before="80" w:after="80" w:lineRule="auto" w:line="360"/>
        <w:ind w:firstLine="0"/>
        <w:jc w:val="both"/>
      </w:pPr>
      <w:r>
        <w:rPr>
          <w:rFonts w:ascii="Times New Roman" w:hAnsi="Times New Roman" w:eastAsia="宋体"/>
          <w:b w:val="0"/>
          <w:i w:val="0"/>
          <w:sz w:val="24"/>
        </w:rPr>
        <w:t>Slope chart titled "The best prompt depends on who grades it", comparing how seven prompt configurations rank under two evaluators. Ranks 1 to 7 are listed in a left column for LLM judges and a right column for human experts, with lines connecting each configuration's two positions. Two lines cross prominently: H4_sop_only, a minimal prompt of about 2,000 tokens, falls from rank 1 under LLM judges to rank 5 under experts with a score of 3.20 out of 5; F_template, a template-anchored prompt of about 15,000 tokens, rises from rank 6 to rank 1 with a score of 4.24 out of 5. The remaining five configurations shift by no more than two positions. A summary strip below states three findings: LLM judges overrate compliance by 0.52 to 0.90 points; only the rules component mattered among four prompt components, with an effect of 0.51 points; and expert review remains indispensable.</w:t>
      </w:r>
    </w:p>
    <w:p>
      <w:pPr>
        <w:spacing w:before="80" w:after="40" w:lineRule="auto" w:line="360"/>
        <w:ind w:firstLine="0"/>
        <w:jc w:val="center"/>
      </w:pPr>
      <w:r>
        <w:rPr>
          <w:rFonts w:ascii="Segoe UI Symbol" w:hAnsi="Segoe UI Symbol" w:eastAsia="宋体"/>
          <w:b/>
          <w:i w:val="0"/>
          <w:sz w:val="21"/>
        </w:rPr>
        <w:t>Figure 1</w:t>
      </w:r>
    </w:p>
    <w:p>
      <w:pPr>
        <w:spacing w:before="40" w:after="120" w:lineRule="auto" w:line="240"/>
        <w:ind w:firstLine="0"/>
        <w:jc w:val="both"/>
      </w:pPr>
      <w:r>
        <w:rPr>
          <w:rFonts w:ascii="Segoe UI Symbol" w:hAnsi="Segoe UI Symbol" w:eastAsia="宋体"/>
          <w:b w:val="0"/>
          <w:i w:val="0"/>
          <w:sz w:val="21"/>
        </w:rPr>
        <w:t>Composition matrix of the nine prompt configurations, ordered by prompt size from smallest to largest. Four left-hand columns indicate, for each configuration, whether the rules, document skeleton, detailed content, and worked examples components are included, partially included, or absent, using filled, light, and pale marks respectively. A right-hand column shows total system-prompt size as a horizontal bar with the value in thousands of tokens, ranging from zero for the no-prompt baseline A_bare to about 56,000 tokens for C_full. C_full has the longest bar but only a partial rules mark, because explicit rules are embedded in raw reference text rather than supplied as a distilled rule set.</w:t>
      </w:r>
    </w:p>
    <w:p>
      <w:pPr>
        <w:spacing w:before="80" w:after="40" w:lineRule="auto" w:line="360"/>
        <w:ind w:firstLine="0"/>
        <w:jc w:val="center"/>
      </w:pPr>
      <w:r>
        <w:rPr>
          <w:rFonts w:ascii="Segoe UI Symbol" w:hAnsi="Segoe UI Symbol" w:eastAsia="宋体"/>
          <w:b/>
          <w:i w:val="0"/>
          <w:sz w:val="21"/>
        </w:rPr>
        <w:t>Figure 2</w:t>
      </w:r>
    </w:p>
    <w:p>
      <w:pPr>
        <w:spacing w:before="40" w:after="120" w:lineRule="auto" w:line="240"/>
        <w:ind w:firstLine="0"/>
        <w:jc w:val="both"/>
      </w:pPr>
      <w:r>
        <w:rPr>
          <w:rFonts w:ascii="Segoe UI Symbol" w:hAnsi="Segoe UI Symbol" w:eastAsia="宋体"/>
          <w:b w:val="0"/>
          <w:i w:val="0"/>
          <w:sz w:val="21"/>
        </w:rPr>
        <w:t>Dumbbell chart of the two-by-two cross-model validation. Each row is one prompt configuration; two connected points show the mean compliance score of documents generated by Claude Opus 4.6 and by GPT-5.4, on a 0 to 5 scale. For most configurations the two points sit close together in the range of about 3 to 4.5. The exception is C_full, whose GPT-generated segment lies far to the left, at 1.40 to 1.84, while its Claude-generated segment remains at 3.22 to 4.56, showing that the full-context configuration collapsed under GPT-5.4 generation only.</w:t>
      </w:r>
    </w:p>
    <w:p>
      <w:pPr>
        <w:spacing w:before="80" w:after="40" w:lineRule="auto" w:line="360"/>
        <w:ind w:firstLine="0"/>
        <w:jc w:val="center"/>
      </w:pPr>
      <w:r>
        <w:rPr>
          <w:rFonts w:ascii="Segoe UI Symbol" w:hAnsi="Segoe UI Symbol" w:eastAsia="宋体"/>
          <w:b/>
          <w:i w:val="0"/>
          <w:sz w:val="21"/>
        </w:rPr>
        <w:t>Figure 3</w:t>
      </w:r>
    </w:p>
    <w:p>
      <w:pPr>
        <w:spacing w:before="40" w:after="120" w:lineRule="auto" w:line="240"/>
        <w:ind w:firstLine="0"/>
        <w:jc w:val="both"/>
      </w:pPr>
      <w:r>
        <w:rPr>
          <w:rFonts w:ascii="Segoe UI Symbol" w:hAnsi="Segoe UI Symbol" w:eastAsia="宋体"/>
          <w:b w:val="0"/>
          <w:i w:val="0"/>
          <w:sz w:val="21"/>
        </w:rPr>
        <w:t>Two-panel Bland–Altman plot of agreement between each LLM judge and the expert panel, based on the same ten expert-reviewed documents. In each panel the horizontal axis is the mean of the expert and judge scores and the vertical axis is their difference, judge minus expert. Panel a, for the Claude Opus 4.6 judge, shows a mean bias line at plus 0.90 points with 95% limits of agreement spanning roughly 0.09 to 1.72. Panel b, for the GPT-5.4 judge, shows a mean bias line at plus 0.52 with limits spanning roughly minus 0.45 to 1.51. All ten points appear in each panel, colored by configuration family — minimal, template-anchored, and full-context — with an open circle for the no-prompt baseline. Nearly all points lie above the zero line, indicating systematic overestimation by both judges.</w:t>
      </w:r>
    </w:p>
    <w:p>
      <w:pPr>
        <w:spacing w:before="80" w:after="40" w:lineRule="auto" w:line="360"/>
        <w:ind w:firstLine="0"/>
        <w:jc w:val="center"/>
      </w:pPr>
      <w:r>
        <w:rPr>
          <w:rFonts w:ascii="Segoe UI Symbol" w:hAnsi="Segoe UI Symbol" w:eastAsia="宋体"/>
          <w:b/>
          <w:i w:val="0"/>
          <w:sz w:val="21"/>
        </w:rPr>
        <w:t>Figure 4</w:t>
      </w:r>
    </w:p>
    <w:p>
      <w:pPr>
        <w:spacing w:before="40" w:after="120" w:lineRule="auto" w:line="240"/>
        <w:ind w:firstLine="0"/>
        <w:jc w:val="both"/>
      </w:pPr>
      <w:r>
        <w:rPr>
          <w:rFonts w:ascii="Segoe UI Symbol" w:hAnsi="Segoe UI Symbol" w:eastAsia="宋体"/>
          <w:b w:val="0"/>
          <w:i w:val="0"/>
          <w:sz w:val="21"/>
        </w:rPr>
        <w:t>Two-panel composite figure. Panel a plots mean quality score against system-prompt size on a symmetric-logarithmic axis, with three series: the expert panel, the Claude judge, and the GPT judge, each computed on the ten expert-reviewed documents. The two judge curves are high at both the low-token configurations and at the 56,000-token C_full, whereas the expert curve peaks in the mid-range template region of about 15,000 to 16,000 tokens and declines at both ends. Shaded bands mark the token-efficient region and the expert-optimal region. Panel b is a ranking chart comparing configuration order at the LLM-judge tier with the expert-panel order; connecting lines cross, showing H4_sop_only falling from first to fifth and F_template rising from sixth to first.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