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Claude Opus 4.6 与 GPT-5.4 生成医学实验室质量管理文件的 ISO 15189 合规性：跨 prompt 策略的比较评估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：比较跨 prompt 策略下 LLM 生成的医学实验室质量管理体系（QMS）文件的 ISO 15189:2022 合规性，识别最优配置，并通过多层次框架刻画现有评估方法中的系统性偏差。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：采用双模型设计共生成 486 份 QMS 文件（Claude Opus 4.6：9 配置 × 15 任务 × 3 重复 = 405；GPT-5.4：9 × 3 × 3 = 81，用于跨模型验证）。9 组配置跨 4 个 prompt 内容维度（规则、文档骨架、详细内容、示例；前两者三水平，后两者二水平；0–56,000 tokens）。合规性按 0–5 Likert 量纲在三层框架下评分：Python 规则式评分器；双 LLM-as-judge 评审（864 条评分）；以及 3 位 ISO 15189 资格内审员对 10 份分层抽样文件的盲法评审。效应检验采用 FDR 校正消融与 bootstrap 95% CI；评审员一致性采用 ICC(2,1)、ICC(3,1)、ICC(2,k) 与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p&lt;0.001）；骨架、详细内容与示例均未产生（所有 p≥0.11）。C_full（~56,000 tokens）在 Claude 下评分 3.22–4.56，在 GPT-5.4 下仅 1.40–1.84，提示长上下文利用具有模型特异性。两位 LLM 评审均将 Claude 生成输出评得比 GPT 生成高约 0.30 分（Panickssery：Claude +0.29，GPT −0.30），此模式与经典自偏好不兼容，且集中表现于 C_full。评审员一致性：专家间极佳 [ICC(2,k)=0.982]，Claude 评审中等 [ICC(3,1)=0.548]，GPT 评审较差 [ICC(3,1)=0.217]；两位 LLM 评审均把专家评分高估 0.52–0.90 分。LLM 偏好的 H4_sop_only（~2,000 tokens）在专家评估下跌至 7 配置中的第 5 名（3.20；仅高于空 prompt 基线 0.16 分），而模板锚定的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 配置（H4_sop_only、E_rules_v2；~1,000–2,000 tokens）适合需经专家审阅的探索性草稿；模板锚定配置（G_template_rules、F_template；~15,000–16,000 tokens）对 ISO 15189 认可送审则属必需；C_full（~56,000 tokens）应避免与 GPT-5.4 搭配使用。LLM-as-judge 方法可支持首道筛选（Claude 作为审慎代理；GPT-5.4 不适用），但专家终审仍属必需。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基于规则、文档骨架、详细内容、worked examples 四个 prompt 内容维度的系统替换，按各维度操作定义的水平变化（规则与文档骨架为三水平：缺失 / 部分 / 完整；详细内容与 worked examples 为二水平：缺失 / 存在），设计 9 组 prompt 配置（Figure 1）。两组极简配置作为基线：A_bare（0 tokens；无 system prompt）与 B_simple（~300 tokens；含语言、文件结构、标准引用、术语、表达风格与编号 6 条编号约束的简短任务指令——编码为规则维度的 partial 水平）。C_full（~56,000 tokens）代表全量上下文输入策略，由实验室简介与全部 SOP 串接组成单一上下文块；由于未单独提供独立的强制性规则块，C_full 同样编码为规则维度的 partial 水平。E_rules_v2（~1,200 tokens）仅含规则成分；F_template（~15,000 tokens）为无规则的完整文档模板；G_template_rules（~16,000 tokens）为规则与模板的组合；H2_keep_examples（~25,000 tokens）在 G_template_rules 基础上扩展 worked examples；H3_skeleton（~5,000 tokens）保留模块骨架但删除详细内容；H4_sop_only（~2,000 tokens）仅保留与请求任务最相关的单个 SOP 骨架。字母 D 在编号序列中被有意跳过：早期 D_rules 变体经专家验证发现术语错误后被弃用，由 E_rules_v2 替代；保留字母跳号以保持配置标识符的时间一致性。</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val="0"/>
          <w:sz w:val="22"/>
        </w:rPr>
        <w:t>规则成分基于经过整理的 rules.md 文件（~1,200 tokens），并经领域专家校验精修。删除 3 条错误术语映射（仪器 → 设备；校准品 → 校准物；室间质评 → 能力验证），修正 3 条目标术语（标本 → 样品；检验项目 → 检测项目；线性范围 → 可报告范围）；箭头表示「非首选 → ISO 15189 首选」方向。最终规则集保留 10 条经验证的术语映射与 7 类被禁的模糊表述。文档骨架由自定义 *strip_to_skeleton* 算法从机构模板库中提取，保留章节标题、各章节首段说明与表单编号方案，删除条款原文摘录、详细表格内容、worked examples、step-by-step 程序与 fenced code blocks（markdown ... 构造，含流程图、JSON 片段或伪代码）。</w:t>
      </w:r>
    </w:p>
    <w:p>
      <w:pPr>
        <w:spacing w:before="80" w:after="80" w:lineRule="auto" w:line="360"/>
        <w:ind w:firstLine="0"/>
        <w:jc w:val="both"/>
      </w:pPr>
      <w:r>
        <w:rPr>
          <w:rFonts w:ascii="Times New Roman" w:hAnsi="Times New Roman" w:eastAsia="宋体"/>
          <w:b w:val="0"/>
          <w:sz w:val="22"/>
        </w:rPr>
        <w:t>本研究所有报告的 token 数均使用 cl100k_base tokenizer（OpenAI tiktoken 库）计算；在中英混合医学文本上，该 tokenizer 与 Anthropic 原生 tokenizer 通常相差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1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字典定义的权重合成为加权综合分（auto_weighted）：格式 = 0.18、条款覆盖 = 0.22、术语 = 0.13——这是该字典所列七个权重项中已实现的三项。字典中其余四项（逻辑一致性 = 0.18、可操作性 = 0.10、安全合规性 = 0.09、人工修改量 = 0.10；合计 0.47）为早期 7 维评分方案的残留条目，已被 §2.3 所述三级评估框架取代；这四项</w:t>
      </w:r>
      <w:r>
        <w:rPr>
          <w:rFonts w:ascii="Times New Roman" w:hAnsi="Times New Roman" w:eastAsia="宋体"/>
          <w:b/>
          <w:sz w:val="22"/>
        </w:rPr>
        <w:t>未纳入 auto_weighted 计算</w:t>
      </w:r>
      <w:r>
        <w:rPr>
          <w:rFonts w:ascii="Times New Roman" w:hAnsi="Times New Roman" w:eastAsia="宋体"/>
          <w:b w:val="0"/>
          <w:sz w:val="22"/>
        </w:rPr>
        <w:t>，因此不参与 Tier 1 排序。三个已实现权重合计为 0.53，故 auto_weighted 在 0–5 评分尺度下的理论范围为 [0, 2.65]。此非单位权重总和仅为评分尺度的表面特征：将每个权重乘以 1/0.53 以归一化至单位和（格式、条款覆盖、术语分别约为 0.34、0.42、0.25），仅是 auto_weighted 的正线性变换，因此既保留各配置组的均值排序，亦保留 §3.1 用于构建综合排序的 min-max 归一化结果（Spearman ρ = 1.00，由变换形式必然成立）。§3 报告的所有 Tier 1 排序对采用原始权重抑或归一化后的单位和权重均完全一致。</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1）以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1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1）。Rater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1）与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tokens；0.000）。H4_sop_only 仅以 ~2,000 tokens 获得最高综合分——远低于模板锚定配置（G_template_rules ~16,000；H2_keep_examples ~25,000）与全量 C_full（~56,000）；但如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对称设计——Claude 生成 × Claude 评审、Claude 生成 × GPT 评审、GPT 生成 × Claude 评审、GPT 生成 × GPT 评审——评估于 9 组配置 × 3 个代表任务（A1、B1、C1）× 每单元 3 次重复。全量上下文配置 C_full（~56,000 tokens）在 GPT-5.4 生成条件下合规分出现显著下降：GPT-gen × Claude-judge 均值为 1.40，GPT-gen × GPT-judge 均值为 1.84（0–5 Likert 量纲），而同一 C_full 配置在 Claude Opus 4.6 生成条件下两位判官的跨评估均值落在 3.22–4.56 区间。该模式表明 ~56,000-token 全量上下文配置的表观可用性局限于 Claude Opus 4.6，在本研究测试的参数下无法推广至 GPT-5.4。作者对 GPT 生成的 C_full 输出进行了定性检视，识别出三类反复出现的失败模式：（i）指令遵循衰退，即 system prompt 早期声明的约束在输出后段不再得到体现；（ii）结构错乱，表现为章节顺序不一致、必需标题缺失或编号错误；以及（iii）条款引用混淆，包括使用错误、不匹配或捏造的 ISO 15189:2022 条款编号。在相应的 Claude Opus 4.6 输出中未观察到这些失败模式。</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分，尽管自评偏差指标的符号在表面上相反。将 C_full 作为主要离群点排除后，Claude 评审均值偏差衰减至 −0.064（9 配置中位数：+0.200），GPT 评审均值偏差衰减至 −0.167（中位数：−0.311），表明上述 Panickssery 指数主要由 C_full 拖动，其长上下文失败模式（§3.3）在该处放大了跨判官分歧。</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1）在评分员间高度可重复；然而由于三位评分员均来自同一单位，所观察到的可靠性可能高估跨单位一致性（见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~15,000–25,000-token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−0.30；§3.4）。然而如 §3.4 所述，该总体均值受 C_full 配置强力杠杆影响：排除 C_full 后，Claude 评审均值偏差衰减至 −0.064，GPT 评审均值偏差衰减至 −0.167，表明跨判官方向性模式集中于长上下文配置，而非 LLM-as-judge 框架的均匀属性。该符号相反的模式与"同家族经典自偏好"不兼容——后者应表现为两位判官均为同号正值——故可由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2）。</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2。这些推荐反映了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之间的歧义，无法在本研究样本内判别。此外，§3.4 报告的跨判官偏差估计受 C_full 配置强力杠杆影响（C_full 贡献了 Claude 评审均值的最大单组值 +3.156 与 GPT 评审均值的最大负值 −1.378）；后续重复研究应分别报告各配置的偏差分布，以区分长上下文特异性效应与配置无关的判官偏好。跨单位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归档（DOI：[接收后分配]）。</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2）</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