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0.47 分（Panickssery：Claude +0.46，GPT −0.47），此模式与经典自偏好不兼容，且在配置集合中稳定存在。评审员一致性：专家间极佳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依据规则、文档骨架、详细内容、示例 4 个 prompt 内容维度进行系统替换，按各维度操作定义所相关的水平变化（规则与文档骨架为三水平：缺失 / 部分 / 完整；详细内容与示例为二水平：缺失 / 存在），设计 9 组对照配置（Figure 1）。其中 A_bare（0 K）与 B_simple（0.3 K）为基线；C_full（56 K）代表全量输入策略；E_rules_v2（1.2 K）仅含规则成分；F_template（15 K）为无规则的完整模板；G_template_rules（16 K）为规则与模板的组合；H2_keep_examples（25 K）在 G 基础上额外保留示例；H3_skeleton（5 K）保留模块骨架但删除详细内容；H4_sop_only（2 K）仅保留任务最相关的单个 SOP 骨架。字母 D 在编号序列中被有意跳过：D_rules 是规则成分的早期变体，经领域专家校验发现存在术语错误后被弃用并由 E_rules_v2 替代；保留字母跳号以保持配置标识符的时间一致性。</w:t>
      </w:r>
    </w:p>
    <w:p>
      <w:pPr>
        <w:spacing w:before="80" w:after="80" w:lineRule="auto" w:line="360"/>
        <w:ind w:firstLine="0"/>
        <w:jc w:val="both"/>
      </w:pPr>
      <w:r>
        <w:rPr>
          <w:rFonts w:ascii="Times New Roman" w:hAnsi="Times New Roman" w:eastAsia="宋体"/>
          <w:b w:val="0"/>
          <w:sz w:val="22"/>
        </w:rPr>
        <w:t>规则成分基于 rules.md（1.2 K），经领域专家校验修正：删除 3 条错误术语映射（仪器→设备、校准品→校准物、室间质评→能力验证），修正 3 条目标术语（标本→样品、检验项目→检测项目、线性范围→可报告范围），保留 10 条正确映射与 7 类模糊表述禁令。骨架成分由 strip_to_skeleton 算法从模板库中提取，保留章节标题、各章节首段说明与表单编号列表，删除条款原文摘录、详细表格内容、示例、详细步骤列表与 fenced code blocks（markdown ... 围栏块，含流程图、JSON 片段或伪代码）。</w:t>
      </w:r>
    </w:p>
    <w:p>
      <w:pPr>
        <w:spacing w:before="80" w:after="80" w:lineRule="auto" w:line="360"/>
        <w:ind w:firstLine="0"/>
        <w:jc w:val="both"/>
      </w:pPr>
      <w:r>
        <w:rPr>
          <w:rFonts w:ascii="Times New Roman" w:hAnsi="Times New Roman" w:eastAsia="宋体"/>
          <w:b w:val="0"/>
          <w:sz w:val="22"/>
        </w:rPr>
        <w:t>本研究中所有报告的 token 数（K）均按 cl100k_base tokenizer（OpenAI tiktoken 库）计算并除以 1000；该 tokenizer 在中英混合医学文本上与 Anthropic 实际 tokenizer 相差通常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2 定义的描述性五维度量规。</w:t>
      </w:r>
    </w:p>
    <w:p>
      <w:pPr>
        <w:spacing w:before="80" w:after="80" w:lineRule="auto" w:line="360"/>
        <w:ind w:firstLine="0"/>
        <w:jc w:val="both"/>
      </w:pPr>
      <w:r>
        <w:rPr>
          <w:rFonts w:ascii="Times New Roman" w:hAnsi="Times New Roman" w:eastAsia="宋体"/>
          <w:b w:val="0"/>
          <w:sz w:val="22"/>
        </w:rPr>
        <w:t>#### 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1–5 评分尺度下的理论范围为 [0.53,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2）以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2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80" w:after="80" w:lineRule="auto" w:line="360"/>
        <w:ind w:firstLine="0"/>
        <w:jc w:val="both"/>
      </w:pPr>
      <w:r>
        <w:rPr>
          <w:rFonts w:ascii="Times New Roman" w:hAnsi="Times New Roman" w:eastAsia="宋体"/>
          <w:b w:val="0"/>
          <w:sz w:val="22"/>
        </w:rPr>
        <w:t>#### 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2）。Rater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2）与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80" w:after="80" w:lineRule="auto" w:line="360"/>
        <w:ind w:firstLine="0"/>
        <w:jc w:val="both"/>
      </w:pPr>
      <w:r>
        <w:rPr>
          <w:rFonts w:ascii="Times New Roman" w:hAnsi="Times New Roman" w:eastAsia="宋体"/>
          <w:b w:val="0"/>
          <w:sz w:val="22"/>
        </w:rPr>
        <w:t>#### 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80" w:after="80" w:lineRule="auto" w:line="360"/>
        <w:ind w:firstLine="0"/>
        <w:jc w:val="both"/>
      </w:pPr>
      <w:r>
        <w:rPr>
          <w:rFonts w:ascii="Times New Roman" w:hAnsi="Times New Roman" w:eastAsia="宋体"/>
          <w:b w:val="0"/>
          <w:sz w:val="22"/>
        </w:rPr>
        <w:t>#### 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80" w:after="80" w:lineRule="auto" w:line="360"/>
        <w:ind w:firstLine="0"/>
        <w:jc w:val="both"/>
      </w:pPr>
      <w:r>
        <w:rPr>
          <w:rFonts w:ascii="Times New Roman" w:hAnsi="Times New Roman" w:eastAsia="宋体"/>
          <w:b w:val="0"/>
          <w:sz w:val="22"/>
        </w:rPr>
        <w:t>#### 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80" w:after="80" w:lineRule="auto" w:line="360"/>
        <w:ind w:firstLine="0"/>
        <w:jc w:val="both"/>
      </w:pPr>
      <w:r>
        <w:rPr>
          <w:rFonts w:ascii="Times New Roman" w:hAnsi="Times New Roman" w:eastAsia="宋体"/>
          <w:b w:val="0"/>
          <w:sz w:val="22"/>
        </w:rPr>
        <w:t>#### 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+0.294、GPT −0.301，与 §3.4 报告的经典值（+0.464 与 −0.472）方向一致。</w:t>
      </w:r>
    </w:p>
    <w:p>
      <w:pPr>
        <w:spacing w:before="80" w:after="80" w:lineRule="auto" w:line="360"/>
        <w:ind w:firstLine="0"/>
        <w:jc w:val="both"/>
      </w:pPr>
      <w:r>
        <w:rPr>
          <w:rFonts w:ascii="Times New Roman" w:hAnsi="Times New Roman" w:eastAsia="宋体"/>
          <w:b w:val="0"/>
          <w:sz w:val="22"/>
        </w:rPr>
        <w:t>#### 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tokens；0.000）。在含规则的配置中，H4_sop_only 以最小 token 预算获得最高综合分——但如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对称矩阵（n=9 配置 × 4 象限）。C_full 在 GPT 生成条件下出现显著性能下降（GPT-gen × Claude-judge 平均 1.40；GPT-gen × GPT-judge 平均 1.84），而同一 C_full 在 Claude 生成条件下的跨评分为 3.22–4.56。这提示 56 K 全量配置在 Claude Opus 下仍能产出合格文件的现象具有模型特异性，并非通用结论。GPT-5.4 在 56 K 超长配置下出现指令遵循衰退、结构错乱与条款引用混淆等失败模式。</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+0.464（0–5 Likert 量纲；8 组正向，E_rules_v2 恰为零；单组最大值 +1.333 出现于 C_full）。GPT 评审均值偏差为 −0.472（8 组负向，仅 C_full 为正向 +0.444）。两位判官在方向上达成一致——跨 9 组配置，两者实际上均把 Claude 生成输出评得比 GPT 生成高约 0.47 分，尽管自评偏差指标的符号在表面上相反。排除 C_full 后，Claude 评审均值偏差小幅下降至 +0.355（9 配置中位数：+0.511），GPT 评审均值偏差进一步加深至 −0.586（中位数：−0.600），表明跨判官方向性模式在其余 8 组配置中持续存在，并非完全由 C_full 长上下文失败模式驱动。</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2）在评分员间高度可重复；然而由于三位评分员均来自同一单位，所观察到的可靠性可能高估跨单位一致性（见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15–25-K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0.47 分（Panickssery 经典估计：Claude 评审 +0.46，GPT 评审 −0.47；§3.4）。该符号相反的模式与"同家族经典自偏好"不兼容——后者应表现为两位判官均为同号正值——故可由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6）。</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6。这些推荐反映了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6）</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