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2393" w14:textId="06367AED" w:rsidR="00FA3710" w:rsidRDefault="00FA3710" w:rsidP="00FA3710">
      <w:r>
        <w:rPr>
          <w:noProof/>
        </w:rPr>
        <w:drawing>
          <wp:inline distT="0" distB="0" distL="0" distR="0" wp14:anchorId="6C3CFDCE" wp14:editId="74857A9C">
            <wp:extent cx="6184834" cy="1794164"/>
            <wp:effectExtent l="0" t="0" r="0" b="0"/>
            <wp:docPr id="722392507" name="Picture 1" descr="City skyline in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 skyline in Chin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6905" cy="1803467"/>
                    </a:xfrm>
                    <a:prstGeom prst="rect">
                      <a:avLst/>
                    </a:prstGeom>
                    <a:noFill/>
                    <a:ln>
                      <a:noFill/>
                    </a:ln>
                  </pic:spPr>
                </pic:pic>
              </a:graphicData>
            </a:graphic>
          </wp:inline>
        </w:drawing>
      </w:r>
    </w:p>
    <w:p w14:paraId="0C319018" w14:textId="293B249B" w:rsidR="00FA3710" w:rsidRPr="00FA3710" w:rsidRDefault="00FA3710" w:rsidP="00FA3710">
      <w:pPr>
        <w:rPr>
          <w:b/>
          <w:bCs/>
          <w:sz w:val="36"/>
          <w:szCs w:val="36"/>
        </w:rPr>
      </w:pPr>
      <w:r w:rsidRPr="00FA3710">
        <w:rPr>
          <w:b/>
          <w:bCs/>
          <w:sz w:val="36"/>
          <w:szCs w:val="36"/>
        </w:rPr>
        <w:t>China Economic Activity February 2026</w:t>
      </w:r>
    </w:p>
    <w:p w14:paraId="6471947A" w14:textId="77777777" w:rsidR="00FA3710" w:rsidRPr="00FA3710" w:rsidRDefault="00FA3710" w:rsidP="00FA3710">
      <w:pPr>
        <w:rPr>
          <w:sz w:val="26"/>
          <w:szCs w:val="26"/>
        </w:rPr>
      </w:pPr>
      <w:r w:rsidRPr="00FA3710">
        <w:rPr>
          <w:sz w:val="26"/>
          <w:szCs w:val="26"/>
        </w:rPr>
        <w:t> 16-Mar-26</w:t>
      </w:r>
    </w:p>
    <w:p w14:paraId="7459E927" w14:textId="77777777" w:rsidR="00FA3710" w:rsidRPr="00FA3710" w:rsidRDefault="00FA3710" w:rsidP="00FA3710">
      <w:pPr>
        <w:rPr>
          <w:b/>
          <w:bCs/>
          <w:sz w:val="28"/>
          <w:szCs w:val="28"/>
        </w:rPr>
      </w:pPr>
      <w:r w:rsidRPr="00FA3710">
        <w:rPr>
          <w:b/>
          <w:bCs/>
          <w:sz w:val="28"/>
          <w:szCs w:val="28"/>
        </w:rPr>
        <w:t>China: Economic activity readings beat expectations</w:t>
      </w:r>
    </w:p>
    <w:p w14:paraId="38527F65" w14:textId="77777777" w:rsidR="00FA3710" w:rsidRPr="00FA3710" w:rsidRDefault="00FA3710" w:rsidP="00FA3710">
      <w:pPr>
        <w:rPr>
          <w:sz w:val="26"/>
          <w:szCs w:val="26"/>
        </w:rPr>
      </w:pPr>
      <w:r w:rsidRPr="00FA3710">
        <w:rPr>
          <w:b/>
          <w:bCs/>
          <w:sz w:val="26"/>
          <w:szCs w:val="26"/>
        </w:rPr>
        <w:t>Latest reading: </w:t>
      </w:r>
      <w:r w:rsidRPr="00FA3710">
        <w:rPr>
          <w:sz w:val="26"/>
          <w:szCs w:val="26"/>
        </w:rPr>
        <w:t>China’s industrial production increased by 6.3% year over year in the combined January–February period of 2026, accelerating from 5.2% growth in December and surpassing market expectations. Growth strengthened across major sectors, including mining, manufacturing, and utilities.</w:t>
      </w:r>
      <w:r w:rsidRPr="00FA3710">
        <w:rPr>
          <w:sz w:val="26"/>
          <w:szCs w:val="26"/>
        </w:rPr>
        <w:br/>
      </w:r>
      <w:r w:rsidRPr="00FA3710">
        <w:rPr>
          <w:sz w:val="26"/>
          <w:szCs w:val="26"/>
        </w:rPr>
        <w:br/>
        <w:t>Retail sales increased by 2.8% year on year in the first two months of 2026, up from a 0.9% rise in December and above market expectations. This represents the strongest growth since last October.</w:t>
      </w:r>
      <w:r w:rsidRPr="00FA3710">
        <w:rPr>
          <w:sz w:val="26"/>
          <w:szCs w:val="26"/>
        </w:rPr>
        <w:br/>
      </w:r>
      <w:r w:rsidRPr="00FA3710">
        <w:rPr>
          <w:sz w:val="26"/>
          <w:szCs w:val="26"/>
        </w:rPr>
        <w:br/>
        <w:t>Fixed-asset investment rose by 1.8% in January–February 2026, surprising on the upside as markets had expected a decline. The increase comes after a 3.8% contraction in 2025—the first annual drop since 1989—driven largely by the property sector slump and tighter limits on local government borrowing. Early in 2026, strong gains in infrastructure investment and a moderate rise in manufacturing spending more than compensated for the continued sharp fall in property investment. House prices and construction activity also remained weak at the outset of 2026.</w:t>
      </w:r>
    </w:p>
    <w:p w14:paraId="4FEE13D7" w14:textId="77777777" w:rsidR="00FA3710" w:rsidRPr="00FA3710" w:rsidRDefault="00FA3710" w:rsidP="00FA3710">
      <w:pPr>
        <w:rPr>
          <w:sz w:val="26"/>
          <w:szCs w:val="26"/>
        </w:rPr>
      </w:pPr>
      <w:proofErr w:type="spellStart"/>
      <w:r w:rsidRPr="00FA3710">
        <w:rPr>
          <w:b/>
          <w:bCs/>
          <w:sz w:val="26"/>
          <w:szCs w:val="26"/>
        </w:rPr>
        <w:t>Panelist</w:t>
      </w:r>
      <w:proofErr w:type="spellEnd"/>
      <w:r w:rsidRPr="00FA3710">
        <w:rPr>
          <w:b/>
          <w:bCs/>
          <w:sz w:val="26"/>
          <w:szCs w:val="26"/>
        </w:rPr>
        <w:t xml:space="preserve"> insight: </w:t>
      </w:r>
      <w:r w:rsidRPr="00FA3710">
        <w:rPr>
          <w:sz w:val="26"/>
          <w:szCs w:val="26"/>
        </w:rPr>
        <w:t>On the data, Nomura analysts said:</w:t>
      </w:r>
      <w:r w:rsidRPr="00FA3710">
        <w:rPr>
          <w:sz w:val="26"/>
          <w:szCs w:val="26"/>
        </w:rPr>
        <w:br/>
      </w:r>
      <w:r w:rsidRPr="00FA3710">
        <w:rPr>
          <w:sz w:val="26"/>
          <w:szCs w:val="26"/>
        </w:rPr>
        <w:br/>
        <w:t>“Despite the rebound, we do not think China’s economy has recovered, as these data might have been driven by factors that are not sustainable, the special timing of the Chinese New Year holiday and the delayed payback impact of the trade-in program. We expect major activity indicators to decline over the next few months.”</w:t>
      </w:r>
      <w:r w:rsidRPr="00FA3710">
        <w:rPr>
          <w:sz w:val="26"/>
          <w:szCs w:val="26"/>
        </w:rPr>
        <w:br/>
      </w:r>
      <w:r w:rsidRPr="00FA3710">
        <w:rPr>
          <w:sz w:val="26"/>
          <w:szCs w:val="26"/>
        </w:rPr>
        <w:br/>
        <w:t>ING’s Lynn Song said:</w:t>
      </w:r>
      <w:r w:rsidRPr="00FA3710">
        <w:rPr>
          <w:sz w:val="26"/>
          <w:szCs w:val="26"/>
        </w:rPr>
        <w:br/>
      </w:r>
      <w:r w:rsidRPr="00FA3710">
        <w:rPr>
          <w:sz w:val="26"/>
          <w:szCs w:val="26"/>
        </w:rPr>
        <w:br/>
        <w:t xml:space="preserve">“Our first data dump of the year showed indicators beating forecasts across the </w:t>
      </w:r>
      <w:r w:rsidRPr="00FA3710">
        <w:rPr>
          <w:sz w:val="26"/>
          <w:szCs w:val="26"/>
        </w:rPr>
        <w:lastRenderedPageBreak/>
        <w:t>board, largely due to downbeat expectations rather than a particularly robust domestic economy. After the significant beat in trade data to start 2026, the same theme from the last two years remains in play, where a resilient external environment helps offset relatively slower domestic growth.”</w:t>
      </w:r>
    </w:p>
    <w:p w14:paraId="5AE71DB2" w14:textId="77777777" w:rsidR="008B1E98" w:rsidRDefault="00FA3710" w:rsidP="008B1E98">
      <w:r w:rsidRPr="00FA3710">
        <w:rPr>
          <w:b/>
          <w:bCs/>
        </w:rPr>
        <w:drawing>
          <wp:inline distT="0" distB="0" distL="0" distR="0" wp14:anchorId="51AEB5EE" wp14:editId="03EEB4C1">
            <wp:extent cx="5670715" cy="3234516"/>
            <wp:effectExtent l="0" t="0" r="0" b="0"/>
            <wp:docPr id="206006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0130" name=""/>
                    <pic:cNvPicPr/>
                  </pic:nvPicPr>
                  <pic:blipFill rotWithShape="1">
                    <a:blip r:embed="rId6">
                      <a:extLst>
                        <a:ext uri="{BEBA8EAE-BF5A-486C-A8C5-ECC9F3942E4B}">
                          <a14:imgProps xmlns:a14="http://schemas.microsoft.com/office/drawing/2010/main">
                            <a14:imgLayer r:embed="rId7">
                              <a14:imgEffect>
                                <a14:saturation sat="200000"/>
                              </a14:imgEffect>
                            </a14:imgLayer>
                          </a14:imgProps>
                        </a:ext>
                      </a:extLst>
                    </a:blip>
                    <a:srcRect t="3669" b="6163"/>
                    <a:stretch>
                      <a:fillRect/>
                    </a:stretch>
                  </pic:blipFill>
                  <pic:spPr bwMode="auto">
                    <a:xfrm>
                      <a:off x="0" y="0"/>
                      <a:ext cx="5714340" cy="3259399"/>
                    </a:xfrm>
                    <a:prstGeom prst="rect">
                      <a:avLst/>
                    </a:prstGeom>
                    <a:ln>
                      <a:noFill/>
                    </a:ln>
                    <a:extLst>
                      <a:ext uri="{53640926-AAD7-44D8-BBD7-CCE9431645EC}">
                        <a14:shadowObscured xmlns:a14="http://schemas.microsoft.com/office/drawing/2010/main"/>
                      </a:ext>
                    </a:extLst>
                  </pic:spPr>
                </pic:pic>
              </a:graphicData>
            </a:graphic>
          </wp:inline>
        </w:drawing>
      </w:r>
      <w:hyperlink r:id="rId8" w:history="1">
        <w:r w:rsidR="008B1E98" w:rsidRPr="00490FEC">
          <w:rPr>
            <w:rStyle w:val="Hyperlink"/>
          </w:rPr>
          <w:t>https://www.focus-economics.com/countries/china/news/economic-activity/china-economic-activity-16-03-2026-economic-activity-readings-beat-expectations/</w:t>
        </w:r>
      </w:hyperlink>
    </w:p>
    <w:p w14:paraId="0FCDAB28" w14:textId="6F6B1233" w:rsidR="00FA3710" w:rsidRDefault="00FA3710" w:rsidP="00FA3710">
      <w:pPr>
        <w:ind w:left="720"/>
      </w:pPr>
    </w:p>
    <w:p w14:paraId="5D59198C" w14:textId="77777777" w:rsidR="008B1E98" w:rsidRDefault="008B1E98">
      <w:r>
        <w:br w:type="page"/>
      </w:r>
    </w:p>
    <w:p w14:paraId="3C399FDB" w14:textId="1608740F" w:rsidR="008B1E98" w:rsidRPr="008B1E98" w:rsidRDefault="008B1E98" w:rsidP="008B1E98">
      <w:r w:rsidRPr="008B1E98">
        <w:rPr>
          <w:b/>
          <w:bCs/>
          <w:sz w:val="28"/>
          <w:szCs w:val="28"/>
        </w:rPr>
        <w:lastRenderedPageBreak/>
        <w:t>Using the data provided, identify the most relevant PESTLE factors influencing China’s economic activity. Which elements are dominant, and which are negligible? Justify your answer with evidence.</w:t>
      </w:r>
    </w:p>
    <w:tbl>
      <w:tblPr>
        <w:tblStyle w:val="TableGrid"/>
        <w:tblpPr w:leftFromText="180" w:rightFromText="180" w:vertAnchor="text" w:horzAnchor="margin" w:tblpXSpec="center" w:tblpY="39"/>
        <w:tblW w:w="9067" w:type="dxa"/>
        <w:tblLook w:val="04A0" w:firstRow="1" w:lastRow="0" w:firstColumn="1" w:lastColumn="0" w:noHBand="0" w:noVBand="1"/>
      </w:tblPr>
      <w:tblGrid>
        <w:gridCol w:w="1517"/>
        <w:gridCol w:w="7550"/>
      </w:tblGrid>
      <w:tr w:rsidR="00D94442" w14:paraId="013CC990" w14:textId="77777777" w:rsidTr="00FD6C9E">
        <w:trPr>
          <w:trHeight w:val="1469"/>
        </w:trPr>
        <w:tc>
          <w:tcPr>
            <w:tcW w:w="1517" w:type="dxa"/>
          </w:tcPr>
          <w:p w14:paraId="5CED21C9" w14:textId="77777777" w:rsidR="00D94442" w:rsidRDefault="00D94442" w:rsidP="00D94442">
            <w:r w:rsidRPr="00B055E1">
              <w:rPr>
                <w:b/>
                <w:bCs/>
              </w:rPr>
              <w:t>P</w:t>
            </w:r>
            <w:r>
              <w:t>olitical</w:t>
            </w:r>
          </w:p>
        </w:tc>
        <w:tc>
          <w:tcPr>
            <w:tcW w:w="7550" w:type="dxa"/>
          </w:tcPr>
          <w:p w14:paraId="1035F676" w14:textId="77777777" w:rsidR="00D94442" w:rsidRDefault="00D94442" w:rsidP="00D94442"/>
        </w:tc>
      </w:tr>
      <w:tr w:rsidR="00D94442" w14:paraId="10D451C4" w14:textId="77777777" w:rsidTr="00FD6C9E">
        <w:trPr>
          <w:trHeight w:val="1409"/>
        </w:trPr>
        <w:tc>
          <w:tcPr>
            <w:tcW w:w="1517" w:type="dxa"/>
          </w:tcPr>
          <w:p w14:paraId="140D51BD" w14:textId="77777777" w:rsidR="00D94442" w:rsidRDefault="00D94442" w:rsidP="00D94442">
            <w:r w:rsidRPr="00B055E1">
              <w:rPr>
                <w:b/>
                <w:bCs/>
              </w:rPr>
              <w:t>E</w:t>
            </w:r>
            <w:r>
              <w:t>conomic</w:t>
            </w:r>
          </w:p>
        </w:tc>
        <w:tc>
          <w:tcPr>
            <w:tcW w:w="7550" w:type="dxa"/>
          </w:tcPr>
          <w:p w14:paraId="5E056A85" w14:textId="77777777" w:rsidR="00D94442" w:rsidRDefault="00D94442" w:rsidP="00D94442"/>
        </w:tc>
      </w:tr>
      <w:tr w:rsidR="00D94442" w14:paraId="491EEFE8" w14:textId="77777777" w:rsidTr="00FD6C9E">
        <w:trPr>
          <w:trHeight w:val="1469"/>
        </w:trPr>
        <w:tc>
          <w:tcPr>
            <w:tcW w:w="1517" w:type="dxa"/>
          </w:tcPr>
          <w:p w14:paraId="3C51751D" w14:textId="77777777" w:rsidR="00D94442" w:rsidRDefault="00D94442" w:rsidP="00D94442">
            <w:r w:rsidRPr="00B055E1">
              <w:rPr>
                <w:b/>
                <w:bCs/>
              </w:rPr>
              <w:t>S</w:t>
            </w:r>
            <w:r>
              <w:t>ocial</w:t>
            </w:r>
          </w:p>
        </w:tc>
        <w:tc>
          <w:tcPr>
            <w:tcW w:w="7550" w:type="dxa"/>
          </w:tcPr>
          <w:p w14:paraId="1C06BA1F" w14:textId="77777777" w:rsidR="00D94442" w:rsidRDefault="00D94442" w:rsidP="00D94442"/>
        </w:tc>
      </w:tr>
      <w:tr w:rsidR="00D94442" w14:paraId="24841749" w14:textId="77777777" w:rsidTr="00FD6C9E">
        <w:trPr>
          <w:trHeight w:val="1409"/>
        </w:trPr>
        <w:tc>
          <w:tcPr>
            <w:tcW w:w="1517" w:type="dxa"/>
          </w:tcPr>
          <w:p w14:paraId="42E67D69" w14:textId="77777777" w:rsidR="00D94442" w:rsidRDefault="00D94442" w:rsidP="00D94442">
            <w:r w:rsidRPr="00B055E1">
              <w:rPr>
                <w:b/>
                <w:bCs/>
              </w:rPr>
              <w:t>T</w:t>
            </w:r>
            <w:r>
              <w:t>echnological</w:t>
            </w:r>
          </w:p>
        </w:tc>
        <w:tc>
          <w:tcPr>
            <w:tcW w:w="7550" w:type="dxa"/>
          </w:tcPr>
          <w:p w14:paraId="1F65EEBA" w14:textId="77777777" w:rsidR="00D94442" w:rsidRDefault="00D94442" w:rsidP="00D94442"/>
        </w:tc>
      </w:tr>
      <w:tr w:rsidR="00D94442" w14:paraId="2B5A4F70" w14:textId="77777777" w:rsidTr="00FD6C9E">
        <w:trPr>
          <w:trHeight w:val="1469"/>
        </w:trPr>
        <w:tc>
          <w:tcPr>
            <w:tcW w:w="1517" w:type="dxa"/>
          </w:tcPr>
          <w:p w14:paraId="7A7E0A75" w14:textId="77777777" w:rsidR="00D94442" w:rsidRDefault="00D94442" w:rsidP="00D94442">
            <w:r w:rsidRPr="00B055E1">
              <w:rPr>
                <w:b/>
                <w:bCs/>
              </w:rPr>
              <w:t>L</w:t>
            </w:r>
            <w:r>
              <w:t>egal</w:t>
            </w:r>
          </w:p>
        </w:tc>
        <w:tc>
          <w:tcPr>
            <w:tcW w:w="7550" w:type="dxa"/>
          </w:tcPr>
          <w:p w14:paraId="50641A85" w14:textId="77777777" w:rsidR="00D94442" w:rsidRDefault="00D94442" w:rsidP="00D94442"/>
        </w:tc>
      </w:tr>
      <w:tr w:rsidR="00D94442" w14:paraId="240097F8" w14:textId="77777777" w:rsidTr="00FD6C9E">
        <w:trPr>
          <w:trHeight w:val="1409"/>
        </w:trPr>
        <w:tc>
          <w:tcPr>
            <w:tcW w:w="1517" w:type="dxa"/>
          </w:tcPr>
          <w:p w14:paraId="42A63D7A" w14:textId="77777777" w:rsidR="00D94442" w:rsidRDefault="00D94442" w:rsidP="00D94442">
            <w:r w:rsidRPr="00B055E1">
              <w:rPr>
                <w:b/>
                <w:bCs/>
              </w:rPr>
              <w:t>E</w:t>
            </w:r>
            <w:r>
              <w:t>nvironmental</w:t>
            </w:r>
          </w:p>
        </w:tc>
        <w:tc>
          <w:tcPr>
            <w:tcW w:w="7550" w:type="dxa"/>
          </w:tcPr>
          <w:p w14:paraId="7E91373A" w14:textId="77777777" w:rsidR="00D94442" w:rsidRDefault="00D94442" w:rsidP="00D94442"/>
        </w:tc>
      </w:tr>
    </w:tbl>
    <w:p w14:paraId="1D8E05BC" w14:textId="77777777" w:rsidR="00D94442" w:rsidRDefault="00D94442" w:rsidP="00D94442">
      <w:pPr>
        <w:rPr>
          <w:b/>
          <w:bCs/>
        </w:rPr>
      </w:pPr>
    </w:p>
    <w:p w14:paraId="0C05A961" w14:textId="77777777" w:rsidR="00D94442" w:rsidRDefault="00D94442" w:rsidP="00D94442"/>
    <w:p w14:paraId="351490AE" w14:textId="77777777" w:rsidR="00D94442" w:rsidRPr="00FA3710" w:rsidRDefault="00D94442" w:rsidP="00FA3710">
      <w:pPr>
        <w:ind w:left="720"/>
      </w:pPr>
    </w:p>
    <w:p w14:paraId="2FCA971B" w14:textId="77777777" w:rsidR="00356C8C" w:rsidRDefault="00356C8C"/>
    <w:sectPr w:rsidR="00356C8C" w:rsidSect="00D71B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CE9"/>
    <w:multiLevelType w:val="multilevel"/>
    <w:tmpl w:val="603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D6509"/>
    <w:multiLevelType w:val="multilevel"/>
    <w:tmpl w:val="BA92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13D86"/>
    <w:multiLevelType w:val="multilevel"/>
    <w:tmpl w:val="07C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B2F64"/>
    <w:multiLevelType w:val="multilevel"/>
    <w:tmpl w:val="B7E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661A6"/>
    <w:multiLevelType w:val="multilevel"/>
    <w:tmpl w:val="F02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27F41"/>
    <w:multiLevelType w:val="multilevel"/>
    <w:tmpl w:val="655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64BF5"/>
    <w:multiLevelType w:val="multilevel"/>
    <w:tmpl w:val="77F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47167"/>
    <w:multiLevelType w:val="multilevel"/>
    <w:tmpl w:val="888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6802">
    <w:abstractNumId w:val="0"/>
  </w:num>
  <w:num w:numId="2" w16cid:durableId="736441630">
    <w:abstractNumId w:val="3"/>
  </w:num>
  <w:num w:numId="3" w16cid:durableId="109202465">
    <w:abstractNumId w:val="5"/>
  </w:num>
  <w:num w:numId="4" w16cid:durableId="733043597">
    <w:abstractNumId w:val="2"/>
  </w:num>
  <w:num w:numId="5" w16cid:durableId="1632519311">
    <w:abstractNumId w:val="7"/>
  </w:num>
  <w:num w:numId="6" w16cid:durableId="472020995">
    <w:abstractNumId w:val="4"/>
  </w:num>
  <w:num w:numId="7" w16cid:durableId="178325083">
    <w:abstractNumId w:val="1"/>
  </w:num>
  <w:num w:numId="8" w16cid:durableId="676543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10"/>
    <w:rsid w:val="00037154"/>
    <w:rsid w:val="00121E4B"/>
    <w:rsid w:val="0015246B"/>
    <w:rsid w:val="00172335"/>
    <w:rsid w:val="001F47B1"/>
    <w:rsid w:val="002226A6"/>
    <w:rsid w:val="002F0DCD"/>
    <w:rsid w:val="00321538"/>
    <w:rsid w:val="00356C8C"/>
    <w:rsid w:val="004A7A8D"/>
    <w:rsid w:val="004C2402"/>
    <w:rsid w:val="005771DA"/>
    <w:rsid w:val="006042BB"/>
    <w:rsid w:val="006E6921"/>
    <w:rsid w:val="00704097"/>
    <w:rsid w:val="00727B4E"/>
    <w:rsid w:val="00732964"/>
    <w:rsid w:val="008117E7"/>
    <w:rsid w:val="008961D0"/>
    <w:rsid w:val="008B1E98"/>
    <w:rsid w:val="008D7FEB"/>
    <w:rsid w:val="00946755"/>
    <w:rsid w:val="00A129DD"/>
    <w:rsid w:val="00A3269A"/>
    <w:rsid w:val="00B20D74"/>
    <w:rsid w:val="00BB490A"/>
    <w:rsid w:val="00BB7CD6"/>
    <w:rsid w:val="00C96069"/>
    <w:rsid w:val="00D16D04"/>
    <w:rsid w:val="00D71BAE"/>
    <w:rsid w:val="00D74220"/>
    <w:rsid w:val="00D94442"/>
    <w:rsid w:val="00E06D37"/>
    <w:rsid w:val="00E102CE"/>
    <w:rsid w:val="00EA3C95"/>
    <w:rsid w:val="00EC486A"/>
    <w:rsid w:val="00F0367C"/>
    <w:rsid w:val="00F86DC1"/>
    <w:rsid w:val="00FA3710"/>
    <w:rsid w:val="00FD6C9E"/>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3582E"/>
  <w15:chartTrackingRefBased/>
  <w15:docId w15:val="{91221E99-477E-4D98-AD28-56C87B8BF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10"/>
    <w:rPr>
      <w:rFonts w:eastAsiaTheme="majorEastAsia" w:cstheme="majorBidi"/>
      <w:color w:val="272727" w:themeColor="text1" w:themeTint="D8"/>
    </w:rPr>
  </w:style>
  <w:style w:type="paragraph" w:styleId="Title">
    <w:name w:val="Title"/>
    <w:basedOn w:val="Normal"/>
    <w:next w:val="Normal"/>
    <w:link w:val="TitleChar"/>
    <w:uiPriority w:val="10"/>
    <w:qFormat/>
    <w:rsid w:val="00FA3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10"/>
    <w:pPr>
      <w:spacing w:before="160"/>
      <w:jc w:val="center"/>
    </w:pPr>
    <w:rPr>
      <w:i/>
      <w:iCs/>
      <w:color w:val="404040" w:themeColor="text1" w:themeTint="BF"/>
    </w:rPr>
  </w:style>
  <w:style w:type="character" w:customStyle="1" w:styleId="QuoteChar">
    <w:name w:val="Quote Char"/>
    <w:basedOn w:val="DefaultParagraphFont"/>
    <w:link w:val="Quote"/>
    <w:uiPriority w:val="29"/>
    <w:rsid w:val="00FA3710"/>
    <w:rPr>
      <w:i/>
      <w:iCs/>
      <w:color w:val="404040" w:themeColor="text1" w:themeTint="BF"/>
    </w:rPr>
  </w:style>
  <w:style w:type="paragraph" w:styleId="ListParagraph">
    <w:name w:val="List Paragraph"/>
    <w:basedOn w:val="Normal"/>
    <w:uiPriority w:val="34"/>
    <w:qFormat/>
    <w:rsid w:val="00FA3710"/>
    <w:pPr>
      <w:ind w:left="720"/>
      <w:contextualSpacing/>
    </w:pPr>
  </w:style>
  <w:style w:type="character" w:styleId="IntenseEmphasis">
    <w:name w:val="Intense Emphasis"/>
    <w:basedOn w:val="DefaultParagraphFont"/>
    <w:uiPriority w:val="21"/>
    <w:qFormat/>
    <w:rsid w:val="00FA3710"/>
    <w:rPr>
      <w:i/>
      <w:iCs/>
      <w:color w:val="2F5496" w:themeColor="accent1" w:themeShade="BF"/>
    </w:rPr>
  </w:style>
  <w:style w:type="paragraph" w:styleId="IntenseQuote">
    <w:name w:val="Intense Quote"/>
    <w:basedOn w:val="Normal"/>
    <w:next w:val="Normal"/>
    <w:link w:val="IntenseQuoteChar"/>
    <w:uiPriority w:val="30"/>
    <w:qFormat/>
    <w:rsid w:val="00FA3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710"/>
    <w:rPr>
      <w:i/>
      <w:iCs/>
      <w:color w:val="2F5496" w:themeColor="accent1" w:themeShade="BF"/>
    </w:rPr>
  </w:style>
  <w:style w:type="character" w:styleId="IntenseReference">
    <w:name w:val="Intense Reference"/>
    <w:basedOn w:val="DefaultParagraphFont"/>
    <w:uiPriority w:val="32"/>
    <w:qFormat/>
    <w:rsid w:val="00FA3710"/>
    <w:rPr>
      <w:b/>
      <w:bCs/>
      <w:smallCaps/>
      <w:color w:val="2F5496" w:themeColor="accent1" w:themeShade="BF"/>
      <w:spacing w:val="5"/>
    </w:rPr>
  </w:style>
  <w:style w:type="character" w:styleId="Hyperlink">
    <w:name w:val="Hyperlink"/>
    <w:basedOn w:val="DefaultParagraphFont"/>
    <w:uiPriority w:val="99"/>
    <w:unhideWhenUsed/>
    <w:rsid w:val="00356C8C"/>
    <w:rPr>
      <w:color w:val="0563C1" w:themeColor="hyperlink"/>
      <w:u w:val="single"/>
    </w:rPr>
  </w:style>
  <w:style w:type="character" w:styleId="UnresolvedMention">
    <w:name w:val="Unresolved Mention"/>
    <w:basedOn w:val="DefaultParagraphFont"/>
    <w:uiPriority w:val="99"/>
    <w:semiHidden/>
    <w:unhideWhenUsed/>
    <w:rsid w:val="00356C8C"/>
    <w:rPr>
      <w:color w:val="605E5C"/>
      <w:shd w:val="clear" w:color="auto" w:fill="E1DFDD"/>
    </w:rPr>
  </w:style>
  <w:style w:type="table" w:styleId="TableGrid">
    <w:name w:val="Table Grid"/>
    <w:basedOn w:val="TableNormal"/>
    <w:uiPriority w:val="39"/>
    <w:rsid w:val="0035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cus-economics.com/countries/china/news/economic-activity/china-economic-activity-16-03-2026-economic-activity-readings-beat-expectations/" TargetMode="Externa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Parker</dc:creator>
  <cp:keywords/>
  <dc:description/>
  <cp:lastModifiedBy>David Parker</cp:lastModifiedBy>
  <cp:revision>3</cp:revision>
  <dcterms:created xsi:type="dcterms:W3CDTF">2026-03-22T09:40:00Z</dcterms:created>
  <dcterms:modified xsi:type="dcterms:W3CDTF">2026-03-22T09:41:00Z</dcterms:modified>
</cp:coreProperties>
</file>