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Fyrmesterens logbog</w:t>
      </w:r>
    </w:p>
    <w:p>
      <w:pPr>
        <w:pStyle w:val="Normal"/>
        <w:rPr/>
      </w:pPr>
      <w:r>
        <w:rPr/>
        <w:t>Hver aften i tusmørket gik fyrmesteren de hundrede og tolv trin op ad tårnet, trak urværket op, som drejede den store linse, og skrev en enkelt linje i logbogen. I løbet af fyrre år fyldte logbogen elleve bind.</w:t>
      </w:r>
    </w:p>
    <w:p>
      <w:pPr>
        <w:pStyle w:val="Normal"/>
        <w:rPr/>
      </w:pPr>
      <w:r>
        <w:rPr/>
        <w:t>Historikere, der senere gennemgik bøgerne, opdagede, at de jævne optegnelser fortalte en rigere historie, end nogen havde ventet. Lange pauser mellem skibene markerede de vintre, hvor den nordlige havn frøs til, og pludselige klynger af sejl viste, hvornår fiskeriet vendte tilbage til fjorden.</w:t>
      </w:r>
    </w:p>
    <w:p>
      <w:pPr>
        <w:pStyle w:val="Normal"/>
        <w:rPr/>
      </w:pPr>
      <w:r>
        <w:rPr/>
        <w:t>Fyrmesterens håndskrift ændrede sig også. I de første år var bogstaverne små og omhyggelige; senere blev de større og mere skæve, især i de måneder, hvor stormene væltede stakittet ved køkkenhaven. Én side, fra en novemberaften med isslag, rummer kun ordene: lyset brændte, ingen skibe, søen tavs.</w:t>
      </w:r>
    </w:p>
    <w:p>
      <w:pPr>
        <w:pStyle w:val="Normal"/>
        <w:bidi w:val="0"/>
        <w:spacing w:before="0" w:after="142"/>
        <w:rPr/>
      </w:pPr>
      <w:r>
        <w:rPr/>
        <w:t>Logbogen ligger i dag på museet i Skagen, hvor besøgende kan bladre i en kopi og selv prøve at tyde de blegnede linjer.</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