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Fyrvaktarens loggbok</w:t>
      </w:r>
    </w:p>
    <w:p>
      <w:pPr>
        <w:pStyle w:val="Normal"/>
        <w:rPr/>
      </w:pPr>
      <w:r>
        <w:rPr/>
        <w:t>Varje kväll i skymningen gick fyrvaktaren de hundratolv trappstegen upp i tornet, drog upp urverket som vred den stora linsen och skrev en enda rad i loggboken. Under fyrtio år fyllde loggboken elva band.</w:t>
      </w:r>
    </w:p>
    <w:p>
      <w:pPr>
        <w:pStyle w:val="Normal"/>
        <w:rPr/>
      </w:pPr>
      <w:r>
        <w:rPr/>
        <w:t>Historiker som senare gick igenom böckerna upptäckte att de enkla anteckningarna berättade en rikare historia än någon hade väntat sig. Långa uppehåll mellan fartygen markerade de vintrar då den norra hamnen frös till, och plötsliga skaror av segel visade när fisket återvände till fjärden.</w:t>
      </w:r>
    </w:p>
    <w:p>
      <w:pPr>
        <w:pStyle w:val="Normal"/>
        <w:rPr/>
      </w:pPr>
      <w:r>
        <w:rPr/>
        <w:t>Även fyrvaktarens handstil förändrades. Under de första åren var bokstäverna små och noggranna; senare blev de större och snedare, särskilt under de månader då stormarna välte staketet vid köksträdgården. En sida, från en novemberkväll med underkylt regn, innehåller bara orden: ljuset brann, inga fartyg, sjön tyst.</w:t>
      </w:r>
    </w:p>
    <w:p>
      <w:pPr>
        <w:pStyle w:val="Normal"/>
        <w:bidi w:val="0"/>
        <w:spacing w:before="0" w:after="142"/>
        <w:rPr/>
      </w:pPr>
      <w:r>
        <w:rPr/>
        <w:t>Loggboken finns i dag på museet i Göteborg, där besökare kan bläddra i en kopia och själva försöka tyda de blekta raderna.</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