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>
          <w:rtl w:val="true"/>
        </w:rPr>
        <w:t>سجل حارس المنارة</w:t>
      </w:r>
    </w:p>
    <w:p>
      <w:pPr>
        <w:pStyle w:val="Normal"/>
        <w:rPr/>
      </w:pPr>
      <w:r>
        <w:rPr>
          <w:rtl w:val="true"/>
        </w:rPr>
        <w:t>كان الحارس يصعد درج البرج كل مساء عند الغروب، ويشعل المصباح الكبير، ثم يكتب سطراً واحداً في الدفتر</w:t>
      </w:r>
      <w:r>
        <w:rPr>
          <w:rtl w:val="true"/>
        </w:rPr>
        <w:t xml:space="preserve">. </w:t>
      </w:r>
      <w:r>
        <w:rPr>
          <w:rtl w:val="true"/>
        </w:rPr>
        <w:t>وعلى مدى أربعين عاماً امتلأت إحدى عشرة مجلدة بتلك السطور القصيرة</w:t>
      </w:r>
      <w:r>
        <w:rPr>
          <w:rtl w:val="true"/>
        </w:rPr>
        <w:t>.</w:t>
      </w:r>
    </w:p>
    <w:p>
      <w:pPr>
        <w:pStyle w:val="Normal"/>
        <w:bidi w:val="1"/>
        <w:spacing w:before="0" w:after="142"/>
        <w:rPr/>
      </w:pPr>
      <w:r>
        <w:rPr>
          <w:rtl w:val="true"/>
        </w:rPr>
        <w:t>وجد المؤرخون أن هذه الملاحظات البسيطة تحكي قصة أغنى مما توقع أحد</w:t>
      </w:r>
      <w:r>
        <w:rPr>
          <w:rtl w:val="true"/>
        </w:rPr>
        <w:t xml:space="preserve">. </w:t>
      </w:r>
      <w:r>
        <w:rPr>
          <w:rtl w:val="true"/>
        </w:rPr>
        <w:t>فالفترات الطويلة بين السفن تدل على الشتاء الذي تجمد فيه الميناء الشمالي</w:t>
      </w:r>
      <w:r>
        <w:rPr>
          <w:rtl w:val="true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1"/>
      <w:spacing w:before="0" w:after="142"/>
    </w:pPr>
    <w:rPr>
      <w:rFonts w:ascii="Noto Sans" w:hAnsi="Noto Sans" w:eastAsia="Noto Sans CJK SC" w:cs="Noto Naskh Arabic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