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บันทึกของผู้เฝ้าประภาคาร</w:t>
      </w:r>
    </w:p>
    <w:p>
      <w:pPr>
        <w:pStyle w:val="Normal"/>
        <w:rPr/>
      </w:pPr>
      <w:r>
        <w:rPr/>
        <w:t>ทุกเย็นเมื่อพระอาทิตย์ตก ผู้เฝ้าประภาคารจะปีนบันไดหนึ่งร้อยสิบสองขั้นขึ้นไปบนหอคอย ไขลานเครื่องที่หมุนเลนส์ขนาดใหญ่ และเขียนหนึ่งบรรทัดลงในสมุดบันทึก</w:t>
      </w:r>
    </w:p>
    <w:p>
      <w:pPr>
        <w:pStyle w:val="Normal"/>
        <w:bidi w:val="0"/>
        <w:spacing w:before="0" w:after="142"/>
        <w:rPr/>
      </w:pPr>
      <w:r>
        <w:rPr/>
        <w:t>นักประวัติศาสตร์ที่ศึกษาสมุดบันทึกเหล่านี้พบว่าข้อความเรียบง่ายเหล่านั้นเล่าเรื่องราวที่ลึกซึ้งกว่าที่ใครคาดไว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 Tha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